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77777777" w:rsidR="006051AE" w:rsidRPr="00D03C7D" w:rsidRDefault="001F464A" w:rsidP="00BE40EF">
      <w:pPr>
        <w:ind w:right="-7"/>
        <w:contextualSpacing/>
        <w:rPr>
          <w:rFonts w:ascii="Arial" w:hAnsi="Arial" w:cs="Arial"/>
          <w:color w:val="000000"/>
          <w:sz w:val="16"/>
          <w:szCs w:val="16"/>
        </w:rPr>
      </w:pPr>
      <w:r>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D03C7D">
        <w:rPr>
          <w:color w:val="000000"/>
          <w:sz w:val="16"/>
          <w:szCs w:val="16"/>
        </w:rPr>
        <w:t>Media contact:</w:t>
      </w:r>
    </w:p>
    <w:p w14:paraId="28E827B1" w14:textId="77777777" w:rsidR="006051AE" w:rsidRPr="00D03C7D" w:rsidRDefault="006051AE" w:rsidP="00BE40EF">
      <w:pPr>
        <w:ind w:right="-7"/>
        <w:contextualSpacing/>
        <w:rPr>
          <w:color w:val="000000"/>
          <w:sz w:val="16"/>
          <w:szCs w:val="16"/>
        </w:rPr>
      </w:pPr>
      <w:r w:rsidRPr="00D03C7D">
        <w:rPr>
          <w:color w:val="000000"/>
          <w:sz w:val="16"/>
          <w:szCs w:val="16"/>
        </w:rPr>
        <w:t>Heather West, 612-724-8760</w:t>
      </w:r>
    </w:p>
    <w:p w14:paraId="6D477FE6" w14:textId="77777777" w:rsidR="00DB68D4" w:rsidRPr="00D03C7D" w:rsidRDefault="006051AE" w:rsidP="00BE40EF">
      <w:pPr>
        <w:ind w:right="-7"/>
        <w:contextualSpacing/>
        <w:rPr>
          <w:color w:val="000000"/>
          <w:sz w:val="16"/>
          <w:szCs w:val="16"/>
        </w:rPr>
      </w:pPr>
      <w:proofErr w:type="spellStart"/>
      <w:r w:rsidRPr="00D03C7D">
        <w:rPr>
          <w:color w:val="000000"/>
          <w:sz w:val="16"/>
          <w:szCs w:val="16"/>
        </w:rPr>
        <w:t>heather@heatherwestpr.com</w:t>
      </w:r>
      <w:r w:rsidR="00EE35D5">
        <w:rPr>
          <w:color w:val="000000"/>
          <w:sz w:val="16"/>
          <w:szCs w:val="16"/>
        </w:rPr>
        <w:t>s</w:t>
      </w:r>
      <w:proofErr w:type="spellEnd"/>
    </w:p>
    <w:p w14:paraId="6B028926" w14:textId="77777777" w:rsidR="006051AE" w:rsidRDefault="006051AE" w:rsidP="00BE40EF">
      <w:pPr>
        <w:widowControl w:val="0"/>
        <w:autoSpaceDE w:val="0"/>
        <w:autoSpaceDN w:val="0"/>
        <w:adjustRightInd w:val="0"/>
        <w:ind w:right="-7"/>
        <w:contextualSpacing/>
        <w:rPr>
          <w:rFonts w:ascii="Futura" w:hAnsi="Futura" w:cs="Arial"/>
          <w:sz w:val="30"/>
          <w:szCs w:val="30"/>
        </w:rPr>
      </w:pPr>
    </w:p>
    <w:p w14:paraId="5B54548A" w14:textId="77777777" w:rsidR="006051AE" w:rsidRDefault="006051AE" w:rsidP="00BE40EF">
      <w:pPr>
        <w:widowControl w:val="0"/>
        <w:autoSpaceDE w:val="0"/>
        <w:autoSpaceDN w:val="0"/>
        <w:adjustRightInd w:val="0"/>
        <w:ind w:right="-7"/>
        <w:contextualSpacing/>
        <w:rPr>
          <w:rFonts w:ascii="Futura" w:hAnsi="Futura" w:cs="Arial"/>
          <w:sz w:val="30"/>
          <w:szCs w:val="30"/>
        </w:rPr>
      </w:pPr>
    </w:p>
    <w:p w14:paraId="4D3C14F6" w14:textId="77777777" w:rsidR="00887B7D" w:rsidRDefault="00887B7D" w:rsidP="00BE40EF">
      <w:pPr>
        <w:widowControl w:val="0"/>
        <w:autoSpaceDE w:val="0"/>
        <w:autoSpaceDN w:val="0"/>
        <w:adjustRightInd w:val="0"/>
        <w:ind w:right="-7"/>
        <w:contextualSpacing/>
        <w:rPr>
          <w:rFonts w:ascii="Futura" w:hAnsi="Futura" w:cs="Arial"/>
          <w:sz w:val="30"/>
          <w:szCs w:val="30"/>
        </w:rPr>
      </w:pPr>
    </w:p>
    <w:p w14:paraId="14FD119D" w14:textId="77777777" w:rsidR="00BE40EF" w:rsidRDefault="00BE40EF" w:rsidP="00BE40EF">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New Jersey’s 3 Journal Square frames Manhattan views</w:t>
      </w:r>
    </w:p>
    <w:p w14:paraId="4B996B42" w14:textId="77777777" w:rsidR="00916740" w:rsidRDefault="00BE40EF" w:rsidP="00BE40EF">
      <w:pPr>
        <w:widowControl w:val="0"/>
        <w:autoSpaceDE w:val="0"/>
        <w:autoSpaceDN w:val="0"/>
        <w:adjustRightInd w:val="0"/>
        <w:ind w:right="-7"/>
        <w:contextualSpacing/>
        <w:jc w:val="center"/>
        <w:rPr>
          <w:rFonts w:ascii="Futura" w:hAnsi="Futura" w:cs="Arial"/>
          <w:sz w:val="30"/>
          <w:szCs w:val="30"/>
        </w:rPr>
      </w:pPr>
      <w:proofErr w:type="gramStart"/>
      <w:r>
        <w:rPr>
          <w:rFonts w:ascii="Futura" w:hAnsi="Futura" w:cs="Arial"/>
          <w:sz w:val="30"/>
          <w:szCs w:val="30"/>
        </w:rPr>
        <w:t>with</w:t>
      </w:r>
      <w:proofErr w:type="gramEnd"/>
      <w:r>
        <w:rPr>
          <w:rFonts w:ascii="Futura" w:hAnsi="Futura" w:cs="Arial"/>
          <w:sz w:val="30"/>
          <w:szCs w:val="30"/>
        </w:rPr>
        <w:t xml:space="preserve"> </w:t>
      </w:r>
      <w:proofErr w:type="spellStart"/>
      <w:r>
        <w:rPr>
          <w:rFonts w:ascii="Futura" w:hAnsi="Futura" w:cs="Arial"/>
          <w:sz w:val="30"/>
          <w:szCs w:val="30"/>
        </w:rPr>
        <w:t>Winco</w:t>
      </w:r>
      <w:proofErr w:type="spellEnd"/>
      <w:r>
        <w:rPr>
          <w:rFonts w:ascii="Futura" w:hAnsi="Futura" w:cs="Arial"/>
          <w:sz w:val="30"/>
          <w:szCs w:val="30"/>
        </w:rPr>
        <w:t xml:space="preserve"> windows featuring dual color finishes by Linetec</w:t>
      </w:r>
    </w:p>
    <w:p w14:paraId="57B497CB" w14:textId="77777777" w:rsidR="00BE40EF" w:rsidRDefault="00BE40EF" w:rsidP="00BE40EF">
      <w:pPr>
        <w:ind w:right="-7"/>
        <w:contextualSpacing/>
        <w:rPr>
          <w:szCs w:val="22"/>
        </w:rPr>
      </w:pPr>
    </w:p>
    <w:p w14:paraId="46303843" w14:textId="77777777" w:rsidR="00BE40EF" w:rsidRPr="00B901B5" w:rsidRDefault="000F3123" w:rsidP="00BE40EF">
      <w:pPr>
        <w:ind w:right="-7"/>
        <w:contextualSpacing/>
      </w:pPr>
      <w:r w:rsidRPr="00916740">
        <w:rPr>
          <w:szCs w:val="22"/>
        </w:rPr>
        <w:t>Wausau, Wisconsin</w:t>
      </w:r>
      <w:r w:rsidR="00084115" w:rsidRPr="00916740">
        <w:rPr>
          <w:szCs w:val="22"/>
        </w:rPr>
        <w:t xml:space="preserve"> (</w:t>
      </w:r>
      <w:r w:rsidR="00BE40EF">
        <w:rPr>
          <w:szCs w:val="22"/>
        </w:rPr>
        <w:t>Jan. 2018</w:t>
      </w:r>
      <w:r w:rsidR="006051AE" w:rsidRPr="00916740">
        <w:rPr>
          <w:szCs w:val="22"/>
        </w:rPr>
        <w:t>)</w:t>
      </w:r>
      <w:r w:rsidR="00084115" w:rsidRPr="00916740">
        <w:rPr>
          <w:szCs w:val="22"/>
        </w:rPr>
        <w:t xml:space="preserve"> </w:t>
      </w:r>
      <w:r w:rsidR="00551E99" w:rsidRPr="00916740">
        <w:rPr>
          <w:szCs w:val="22"/>
        </w:rPr>
        <w:t>–</w:t>
      </w:r>
      <w:r w:rsidR="00E97B5C" w:rsidRPr="00916740">
        <w:rPr>
          <w:szCs w:val="22"/>
        </w:rPr>
        <w:t xml:space="preserve"> </w:t>
      </w:r>
      <w:r w:rsidR="00BE40EF" w:rsidRPr="00B901B5">
        <w:t>Opened in June 2017, 3 Journal Square’s mixed-use 240-unit apartment building attracts New Jersey’s young professionals with a high-style aesthetic, modern performance and LEED</w:t>
      </w:r>
      <w:r w:rsidR="00BE40EF" w:rsidRPr="00B901B5">
        <w:rPr>
          <w:vertAlign w:val="superscript"/>
        </w:rPr>
        <w:t>®</w:t>
      </w:r>
      <w:r w:rsidR="00BE40EF" w:rsidRPr="00B901B5">
        <w:t xml:space="preserve"> Silver certification. Hospitality-minded amenities include housekeeping services, a dog run, a yoga studio, curated art collection, 24-hour concierge services, a party room, ground-floor retailers and a rooftop deck with Manhattan skyline views. Framing the urban views and </w:t>
      </w:r>
      <w:proofErr w:type="spellStart"/>
      <w:r w:rsidR="00BE40EF" w:rsidRPr="00B901B5">
        <w:t>daylit</w:t>
      </w:r>
      <w:proofErr w:type="spellEnd"/>
      <w:r w:rsidR="00BE40EF" w:rsidRPr="00B901B5">
        <w:t xml:space="preserve"> interiors, </w:t>
      </w:r>
      <w:proofErr w:type="spellStart"/>
      <w:r w:rsidR="00BE40EF" w:rsidRPr="00B901B5">
        <w:t>Winco</w:t>
      </w:r>
      <w:proofErr w:type="spellEnd"/>
      <w:r w:rsidR="00BE40EF" w:rsidRPr="00B901B5">
        <w:t xml:space="preserve"> Windows supplied its 8250 Infinity Series windows, finished by Linetec, for the property’s 628 daylight openings.</w:t>
      </w:r>
    </w:p>
    <w:p w14:paraId="42EB434C" w14:textId="77777777" w:rsidR="00BE40EF" w:rsidRPr="00B901B5" w:rsidRDefault="00BE40EF" w:rsidP="00BE40EF">
      <w:pPr>
        <w:ind w:right="-7"/>
        <w:contextualSpacing/>
      </w:pPr>
    </w:p>
    <w:p w14:paraId="56819619" w14:textId="77777777" w:rsidR="00BE40EF" w:rsidRPr="00BE40EF" w:rsidRDefault="00BE40EF" w:rsidP="00BE40EF">
      <w:pPr>
        <w:ind w:right="-7"/>
        <w:contextualSpacing/>
        <w:rPr>
          <w:b/>
          <w:i/>
        </w:rPr>
      </w:pPr>
      <w:r w:rsidRPr="00BE40EF">
        <w:rPr>
          <w:b/>
          <w:i/>
        </w:rPr>
        <w:t>Geometric Façade Design</w:t>
      </w:r>
    </w:p>
    <w:p w14:paraId="44680E9B" w14:textId="77777777" w:rsidR="00BE40EF" w:rsidRDefault="00BE40EF" w:rsidP="00BE40EF">
      <w:pPr>
        <w:ind w:right="-7"/>
        <w:contextualSpacing/>
      </w:pPr>
      <w:r w:rsidRPr="00B901B5">
        <w:t xml:space="preserve">Designed by </w:t>
      </w:r>
      <w:proofErr w:type="spellStart"/>
      <w:r w:rsidRPr="00B901B5">
        <w:t>Marchetto</w:t>
      </w:r>
      <w:proofErr w:type="spellEnd"/>
      <w:r w:rsidRPr="00B901B5">
        <w:t xml:space="preserve"> Higgins </w:t>
      </w:r>
      <w:proofErr w:type="spellStart"/>
      <w:r w:rsidRPr="00B901B5">
        <w:t>Stieve</w:t>
      </w:r>
      <w:proofErr w:type="spellEnd"/>
      <w:r w:rsidRPr="00B901B5">
        <w:t xml:space="preserve"> Architects, modular blocks of color define 3 Journal Square’s exterior, reminiscent of Mondrian’s artworks. Brought to life by </w:t>
      </w:r>
      <w:proofErr w:type="spellStart"/>
      <w:r w:rsidRPr="00B901B5">
        <w:rPr>
          <w:rStyle w:val="s1"/>
          <w:rFonts w:eastAsia="Times New Roman"/>
        </w:rPr>
        <w:t>Tocci</w:t>
      </w:r>
      <w:proofErr w:type="spellEnd"/>
      <w:r w:rsidRPr="00B901B5">
        <w:rPr>
          <w:rStyle w:val="s1"/>
          <w:rFonts w:eastAsia="Times New Roman"/>
        </w:rPr>
        <w:t xml:space="preserve"> Building Corporation</w:t>
      </w:r>
      <w:r w:rsidRPr="00B901B5">
        <w:t>, this geometric format gives the 13-story, 220,000-square-foot structure a more approachable scale. This modularity also is evident within the 10-by-7-foot daylight openings, which are composed of several rectangular window units.</w:t>
      </w:r>
    </w:p>
    <w:p w14:paraId="67051BC2" w14:textId="77777777" w:rsidR="00BE40EF" w:rsidRDefault="00BE40EF" w:rsidP="00BE40EF">
      <w:pPr>
        <w:ind w:right="-7"/>
        <w:contextualSpacing/>
      </w:pPr>
    </w:p>
    <w:p w14:paraId="4A06DE4F" w14:textId="77777777" w:rsidR="00BE40EF" w:rsidRPr="00B901B5" w:rsidRDefault="00BE40EF" w:rsidP="00BE40EF">
      <w:pPr>
        <w:ind w:right="-7"/>
        <w:contextualSpacing/>
      </w:pPr>
      <w:r w:rsidRPr="00B901B5">
        <w:t xml:space="preserve">In total, City Newark Glass Company installed 2,538 aluminum-framed </w:t>
      </w:r>
      <w:proofErr w:type="spellStart"/>
      <w:r w:rsidRPr="00B901B5">
        <w:t>Winco</w:t>
      </w:r>
      <w:proofErr w:type="spellEnd"/>
      <w:r w:rsidRPr="00B901B5">
        <w:t xml:space="preserve"> window units.</w:t>
      </w:r>
      <w:r>
        <w:t xml:space="preserve"> “Once on site, it took us about six months to install all the windows,” says Al McLeod, Jr., president of City Newark Glass. “We’ve used </w:t>
      </w:r>
      <w:proofErr w:type="spellStart"/>
      <w:r>
        <w:t>Winco</w:t>
      </w:r>
      <w:proofErr w:type="spellEnd"/>
      <w:r>
        <w:t xml:space="preserve"> many times over the years and found it to be a reliable product.”</w:t>
      </w:r>
    </w:p>
    <w:p w14:paraId="048B47B5" w14:textId="77777777" w:rsidR="00BE40EF" w:rsidRPr="00B901B5" w:rsidRDefault="00BE40EF" w:rsidP="00BE40EF">
      <w:pPr>
        <w:ind w:right="-7"/>
        <w:contextualSpacing/>
      </w:pPr>
    </w:p>
    <w:p w14:paraId="6E4A9769" w14:textId="77777777" w:rsidR="00BE40EF" w:rsidRPr="00B901B5" w:rsidRDefault="00BE40EF" w:rsidP="00BE40EF">
      <w:pPr>
        <w:ind w:right="-7"/>
        <w:contextualSpacing/>
      </w:pPr>
      <w:r>
        <w:t xml:space="preserve">Contributing to product resiliency and beauty, </w:t>
      </w:r>
      <w:r w:rsidRPr="00B901B5">
        <w:t xml:space="preserve">Linetec applied a dual-color, painted finish to all of </w:t>
      </w:r>
      <w:proofErr w:type="spellStart"/>
      <w:r w:rsidRPr="00B901B5">
        <w:t>Winco’s</w:t>
      </w:r>
      <w:proofErr w:type="spellEnd"/>
      <w:r w:rsidRPr="00B901B5">
        <w:t xml:space="preserve"> windows, complementing the 3 Journal Square’s design across all planes and palettes. On the windows’ exterior, a light gray color was used to match the inset building façade of the same hue. Contrasting with this lighter portion, the surrounding exterior walls mask their size in dark gray and blue tones. Within these sections, a black finish emphasizes the outline of each window unit. On the interior, an ivory color was selected for its subtle ability to blend with most décor.</w:t>
      </w:r>
    </w:p>
    <w:p w14:paraId="3E9F7AE0" w14:textId="77777777" w:rsidR="00BE40EF" w:rsidRPr="00B901B5" w:rsidRDefault="00BE40EF" w:rsidP="00BE40EF">
      <w:pPr>
        <w:ind w:right="-7"/>
        <w:contextualSpacing/>
      </w:pPr>
    </w:p>
    <w:p w14:paraId="0739B43A" w14:textId="77777777" w:rsidR="00BE40EF" w:rsidRPr="00BE40EF" w:rsidRDefault="00BE40EF" w:rsidP="00BE40EF">
      <w:pPr>
        <w:ind w:right="-7"/>
        <w:contextualSpacing/>
        <w:rPr>
          <w:b/>
          <w:i/>
        </w:rPr>
      </w:pPr>
      <w:r w:rsidRPr="00BE40EF">
        <w:rPr>
          <w:b/>
          <w:i/>
        </w:rPr>
        <w:t>Durable Finishes, Sustainable Goals</w:t>
      </w:r>
    </w:p>
    <w:p w14:paraId="4BC3C82C" w14:textId="77777777" w:rsidR="00BE40EF" w:rsidRPr="00B901B5" w:rsidRDefault="00BE40EF" w:rsidP="00BE40EF">
      <w:pPr>
        <w:ind w:right="-7"/>
        <w:contextualSpacing/>
        <w:rPr>
          <w:rFonts w:eastAsia="Times New Roman"/>
        </w:rPr>
      </w:pPr>
      <w:r w:rsidRPr="00B901B5">
        <w:t>The light gray, black and ivory finishes were blended in-house at Linetec and formulated using 70 percent PVDF resin-based coatings.</w:t>
      </w:r>
      <w:r w:rsidRPr="00B901B5">
        <w:rPr>
          <w:rFonts w:eastAsia="Times New Roman"/>
        </w:rPr>
        <w:t xml:space="preserve"> </w:t>
      </w:r>
      <w:r w:rsidRPr="00B901B5">
        <w:t xml:space="preserve">As an environmentally responsible finisher, </w:t>
      </w:r>
      <w:r w:rsidRPr="00B901B5">
        <w:rPr>
          <w:rFonts w:eastAsia="Times New Roman"/>
        </w:rPr>
        <w:t>Linetec applies these high-performance painted coatings in a controlled facility that safely captures and destroys the VOCs present in liquid solvent-based paints before the finished products’ arrival on the building site. Under Linetec’s stringent processes, these finishes meet the American Architectural Manufacturers Association’s (</w:t>
      </w:r>
      <w:proofErr w:type="spellStart"/>
      <w:r w:rsidRPr="00B901B5">
        <w:rPr>
          <w:rFonts w:eastAsia="Times New Roman"/>
        </w:rPr>
        <w:t>AAMA</w:t>
      </w:r>
      <w:proofErr w:type="spellEnd"/>
      <w:r w:rsidRPr="00B901B5">
        <w:rPr>
          <w:rFonts w:eastAsia="Times New Roman"/>
        </w:rPr>
        <w:t>) 2605 industry standard, as well as minimize buildings’ maintenance costs and maximize long lifecycles.</w:t>
      </w:r>
    </w:p>
    <w:p w14:paraId="30E3152E" w14:textId="77777777" w:rsidR="00BE40EF" w:rsidRDefault="00BE40EF" w:rsidP="00BE40EF">
      <w:pPr>
        <w:ind w:right="-7"/>
        <w:contextualSpacing/>
        <w:rPr>
          <w:rFonts w:eastAsia="Times New Roman"/>
        </w:rPr>
      </w:pPr>
    </w:p>
    <w:p w14:paraId="12B04D58" w14:textId="77777777" w:rsidR="00BE40EF" w:rsidRPr="00B901B5" w:rsidRDefault="00BE40EF" w:rsidP="00BE40EF">
      <w:pPr>
        <w:ind w:right="-7"/>
        <w:contextualSpacing/>
      </w:pPr>
      <w:r w:rsidRPr="00B901B5">
        <w:rPr>
          <w:rFonts w:eastAsia="Times New Roman"/>
        </w:rPr>
        <w:t xml:space="preserve">Further contributing to the project’s sustainability goals, the aluminum used to produce </w:t>
      </w:r>
      <w:proofErr w:type="spellStart"/>
      <w:r w:rsidRPr="00B901B5">
        <w:rPr>
          <w:rFonts w:eastAsia="Times New Roman"/>
        </w:rPr>
        <w:t>Winco’s</w:t>
      </w:r>
      <w:proofErr w:type="spellEnd"/>
      <w:r w:rsidRPr="00B901B5">
        <w:rPr>
          <w:rFonts w:eastAsia="Times New Roman"/>
        </w:rPr>
        <w:t xml:space="preserve"> windows is an </w:t>
      </w:r>
      <w:r w:rsidRPr="00B901B5">
        <w:t xml:space="preserve">82.5 percent </w:t>
      </w:r>
      <w:r w:rsidRPr="00B901B5">
        <w:rPr>
          <w:rFonts w:eastAsia="Times New Roman"/>
        </w:rPr>
        <w:t>recycled-content aluminum billet composition</w:t>
      </w:r>
      <w:r w:rsidRPr="00B901B5">
        <w:t xml:space="preserve">. </w:t>
      </w:r>
      <w:r w:rsidRPr="00B901B5">
        <w:rPr>
          <w:rFonts w:eastAsia="Times New Roman"/>
        </w:rPr>
        <w:t xml:space="preserve">After its useful life on the building, the </w:t>
      </w:r>
      <w:proofErr w:type="gramStart"/>
      <w:r w:rsidRPr="00B901B5">
        <w:rPr>
          <w:rFonts w:eastAsia="Times New Roman"/>
        </w:rPr>
        <w:t>aluminum framing</w:t>
      </w:r>
      <w:proofErr w:type="gramEnd"/>
      <w:r w:rsidRPr="00B901B5">
        <w:rPr>
          <w:rFonts w:eastAsia="Times New Roman"/>
        </w:rPr>
        <w:t xml:space="preserve"> members are 100 percent recyclable.</w:t>
      </w:r>
    </w:p>
    <w:p w14:paraId="1093F553" w14:textId="77777777" w:rsidR="00BE40EF" w:rsidRDefault="00BE40EF" w:rsidP="00BE40EF">
      <w:pPr>
        <w:ind w:right="-7"/>
        <w:contextualSpacing/>
        <w:rPr>
          <w:rFonts w:eastAsia="Times New Roman"/>
        </w:rPr>
      </w:pPr>
    </w:p>
    <w:p w14:paraId="17372827" w14:textId="77777777" w:rsidR="00BE40EF" w:rsidRPr="00BE40EF" w:rsidRDefault="00BE40EF" w:rsidP="00BE40EF">
      <w:pPr>
        <w:ind w:right="-7"/>
        <w:contextualSpacing/>
        <w:jc w:val="right"/>
        <w:rPr>
          <w:rFonts w:eastAsia="Times New Roman"/>
          <w:i/>
          <w:sz w:val="20"/>
          <w:szCs w:val="20"/>
        </w:rPr>
      </w:pPr>
      <w:r w:rsidRPr="00BE40EF">
        <w:rPr>
          <w:rFonts w:eastAsia="Times New Roman"/>
          <w:i/>
          <w:sz w:val="20"/>
          <w:szCs w:val="20"/>
        </w:rPr>
        <w:t>(</w:t>
      </w:r>
      <w:proofErr w:type="gramStart"/>
      <w:r w:rsidRPr="00BE40EF">
        <w:rPr>
          <w:rFonts w:eastAsia="Times New Roman"/>
          <w:i/>
          <w:sz w:val="20"/>
          <w:szCs w:val="20"/>
        </w:rPr>
        <w:t>more</w:t>
      </w:r>
      <w:proofErr w:type="gramEnd"/>
      <w:r w:rsidRPr="00BE40EF">
        <w:rPr>
          <w:rFonts w:eastAsia="Times New Roman"/>
          <w:i/>
          <w:sz w:val="20"/>
          <w:szCs w:val="20"/>
        </w:rPr>
        <w:t>)</w:t>
      </w:r>
    </w:p>
    <w:p w14:paraId="3A0C2015" w14:textId="77777777" w:rsidR="00BE40EF" w:rsidRDefault="00BE40EF" w:rsidP="00BE40EF">
      <w:pPr>
        <w:ind w:right="-7"/>
        <w:rPr>
          <w:rFonts w:eastAsia="Times New Roman"/>
        </w:rPr>
      </w:pPr>
      <w:r>
        <w:rPr>
          <w:rFonts w:eastAsia="Times New Roman"/>
        </w:rPr>
        <w:br w:type="page"/>
      </w:r>
    </w:p>
    <w:p w14:paraId="7E379D24" w14:textId="77777777" w:rsidR="00BE40EF" w:rsidRPr="00B901B5" w:rsidRDefault="00BE40EF" w:rsidP="00BE40EF">
      <w:pPr>
        <w:ind w:right="270"/>
        <w:contextualSpacing/>
      </w:pPr>
      <w:r w:rsidRPr="00B901B5">
        <w:rPr>
          <w:rFonts w:eastAsia="Times New Roman"/>
        </w:rPr>
        <w:lastRenderedPageBreak/>
        <w:t xml:space="preserve">In addition to reducing waste, enhance visual appeal and improving durability, Linetec’s thermal improvement services also </w:t>
      </w:r>
      <w:r w:rsidRPr="00B901B5">
        <w:t xml:space="preserve">supporting LEED Silver criteria for </w:t>
      </w:r>
      <w:r w:rsidRPr="00B901B5">
        <w:rPr>
          <w:rFonts w:eastAsia="Times New Roman"/>
        </w:rPr>
        <w:t>energy-efficiency</w:t>
      </w:r>
      <w:r w:rsidRPr="00B901B5">
        <w:t xml:space="preserve"> goals. For 3 Journal Square, Linetec added the insulating, thermal, polyamide strut to </w:t>
      </w:r>
      <w:proofErr w:type="spellStart"/>
      <w:r w:rsidRPr="00B901B5">
        <w:t>Winco</w:t>
      </w:r>
      <w:proofErr w:type="spellEnd"/>
      <w:r w:rsidRPr="00B901B5">
        <w:t xml:space="preserve"> Windows’ aluminum framing members. The strut separates the inside and outside metal, which greatly enhances a window’s thermal performance. This thermal break reduces the amount of heat transfer, therefore saving energy and increasing occupant comfort. At Linetec, thermal strut also presents a cost-effect opportunity for dual finishing options, such as specified on </w:t>
      </w:r>
      <w:proofErr w:type="spellStart"/>
      <w:r w:rsidRPr="00B901B5">
        <w:t>Winco’s</w:t>
      </w:r>
      <w:proofErr w:type="spellEnd"/>
      <w:r w:rsidRPr="00B901B5">
        <w:t xml:space="preserve"> windows.</w:t>
      </w:r>
    </w:p>
    <w:p w14:paraId="36947447" w14:textId="77777777" w:rsidR="00BE40EF" w:rsidRPr="00B901B5" w:rsidRDefault="00BE40EF" w:rsidP="00BE40EF">
      <w:pPr>
        <w:ind w:right="-7"/>
        <w:contextualSpacing/>
      </w:pPr>
    </w:p>
    <w:p w14:paraId="783D878E" w14:textId="77777777" w:rsidR="00BE40EF" w:rsidRPr="00BE40EF" w:rsidRDefault="00BE40EF" w:rsidP="00BE40EF">
      <w:pPr>
        <w:ind w:right="-7"/>
        <w:contextualSpacing/>
        <w:rPr>
          <w:b/>
          <w:i/>
        </w:rPr>
      </w:pPr>
      <w:r w:rsidRPr="00BE40EF">
        <w:rPr>
          <w:b/>
          <w:i/>
        </w:rPr>
        <w:t>Historic Revitalization</w:t>
      </w:r>
    </w:p>
    <w:p w14:paraId="6B864287" w14:textId="77777777" w:rsidR="00BE40EF" w:rsidRPr="00B901B5" w:rsidRDefault="00BE40EF" w:rsidP="00BE40EF">
      <w:pPr>
        <w:ind w:right="-7"/>
        <w:contextualSpacing/>
      </w:pPr>
      <w:r w:rsidRPr="00B901B5">
        <w:t xml:space="preserve">Since the 1920s, Jersey City’s Journal Square has been a business, transportation and entertainment hub. The Square earned its moniker as the site of </w:t>
      </w:r>
      <w:r w:rsidRPr="00B901B5">
        <w:rPr>
          <w:i/>
        </w:rPr>
        <w:t>The Evening Journal</w:t>
      </w:r>
      <w:r w:rsidRPr="00B901B5">
        <w:t xml:space="preserve">, and later, </w:t>
      </w:r>
      <w:r w:rsidRPr="00B901B5">
        <w:rPr>
          <w:i/>
        </w:rPr>
        <w:t>The Jersey Journal</w:t>
      </w:r>
      <w:r w:rsidRPr="00B901B5">
        <w:t xml:space="preserve">. In recent decades, the future site of 3 Journal Square had remained vacant for more than 30 years. Developers </w:t>
      </w:r>
      <w:proofErr w:type="spellStart"/>
      <w:r w:rsidRPr="00B901B5">
        <w:t>Hartz</w:t>
      </w:r>
      <w:proofErr w:type="spellEnd"/>
      <w:r w:rsidRPr="00B901B5">
        <w:t xml:space="preserve"> Mountain Industries and </w:t>
      </w:r>
      <w:proofErr w:type="spellStart"/>
      <w:r w:rsidRPr="00B901B5">
        <w:t>Panepinto</w:t>
      </w:r>
      <w:proofErr w:type="spellEnd"/>
      <w:r w:rsidRPr="00B901B5">
        <w:t xml:space="preserve"> Properties purchased the property from the City with a vision for revitalizing the area.</w:t>
      </w:r>
    </w:p>
    <w:p w14:paraId="18B31D45" w14:textId="77777777" w:rsidR="00BE40EF" w:rsidRPr="00B901B5" w:rsidRDefault="00BE40EF" w:rsidP="00BE40EF">
      <w:pPr>
        <w:ind w:right="-7"/>
        <w:contextualSpacing/>
      </w:pPr>
    </w:p>
    <w:p w14:paraId="2A76AD05" w14:textId="77777777" w:rsidR="00BE40EF" w:rsidRPr="00B901B5" w:rsidRDefault="00BE40EF" w:rsidP="00BE40EF">
      <w:pPr>
        <w:widowControl w:val="0"/>
        <w:autoSpaceDE w:val="0"/>
        <w:autoSpaceDN w:val="0"/>
        <w:adjustRightInd w:val="0"/>
        <w:ind w:right="-7"/>
        <w:contextualSpacing/>
        <w:rPr>
          <w:rFonts w:eastAsia="Times New Roman"/>
        </w:rPr>
      </w:pPr>
      <w:r w:rsidRPr="00B901B5">
        <w:rPr>
          <w:rFonts w:eastAsia="Times New Roman"/>
        </w:rPr>
        <w:t>The recipient of an Urban Transit Hub tax credit and a tax abatement from the Jersey City, 3 Journal Square is part of the 244-acre Journal Square 2060 Redevelopment Plan. The Plan’s purpose is “</w:t>
      </w:r>
      <w:r w:rsidRPr="00B901B5">
        <w:t>to foster the redevelopment of Journal Square, Jersey City's central business district, by providing for transit-oriented development of new housing, offices, commercial, and public open spaces within walking distance to the Square and transit facilities.”</w:t>
      </w:r>
      <w:r w:rsidRPr="00B901B5">
        <w:rPr>
          <w:rFonts w:eastAsia="Times New Roman"/>
        </w:rPr>
        <w:t xml:space="preserve"> </w:t>
      </w:r>
      <w:proofErr w:type="gramStart"/>
      <w:r w:rsidRPr="00B901B5">
        <w:t>Located steps from the PATH Station, 3 Journal Square connects</w:t>
      </w:r>
      <w:proofErr w:type="gramEnd"/>
      <w:r w:rsidRPr="00B901B5">
        <w:t xml:space="preserve"> tenants to Manhattan in 10 minutes. Most residents </w:t>
      </w:r>
      <w:r w:rsidRPr="00B901B5">
        <w:rPr>
          <w:rFonts w:eastAsia="Times New Roman"/>
        </w:rPr>
        <w:t>have little need fro a car as the property boasts a Walk Score of 98 out of 100.</w:t>
      </w:r>
    </w:p>
    <w:p w14:paraId="25D86133" w14:textId="77777777" w:rsidR="00BE40EF" w:rsidRPr="00B901B5" w:rsidRDefault="00BE40EF" w:rsidP="00BE40EF">
      <w:pPr>
        <w:widowControl w:val="0"/>
        <w:autoSpaceDE w:val="0"/>
        <w:autoSpaceDN w:val="0"/>
        <w:adjustRightInd w:val="0"/>
        <w:ind w:right="-7"/>
        <w:contextualSpacing/>
        <w:rPr>
          <w:rFonts w:eastAsia="Times New Roman"/>
        </w:rPr>
      </w:pPr>
    </w:p>
    <w:p w14:paraId="7915A6D5" w14:textId="77777777" w:rsidR="00BE40EF" w:rsidRPr="00B901B5" w:rsidRDefault="00BE40EF" w:rsidP="00BE40EF">
      <w:pPr>
        <w:ind w:right="-7"/>
        <w:contextualSpacing/>
        <w:rPr>
          <w:rFonts w:eastAsia="Times New Roman"/>
        </w:rPr>
      </w:pPr>
      <w:r w:rsidRPr="00B901B5">
        <w:rPr>
          <w:rFonts w:eastAsia="Times New Roman"/>
        </w:rPr>
        <w:t xml:space="preserve">A few units remain available at 3 Journal Square. Property manager, </w:t>
      </w:r>
      <w:proofErr w:type="spellStart"/>
      <w:r w:rsidRPr="00B901B5">
        <w:t>Greystar</w:t>
      </w:r>
      <w:proofErr w:type="spellEnd"/>
      <w:r w:rsidRPr="00B901B5">
        <w:t xml:space="preserve"> Real Estate Partners, </w:t>
      </w:r>
      <w:r w:rsidRPr="00B901B5">
        <w:rPr>
          <w:rFonts w:eastAsia="Times New Roman"/>
        </w:rPr>
        <w:t>showcases studios, one-, two- and three-bedroom units with rents starting at $1,915 for a studio and $4,100 for a three-bedroom.</w:t>
      </w:r>
    </w:p>
    <w:p w14:paraId="4EAE3A41" w14:textId="77777777" w:rsidR="00BE40EF" w:rsidRPr="00BE40EF" w:rsidRDefault="00BE40EF" w:rsidP="00BE40EF">
      <w:pPr>
        <w:ind w:right="-7"/>
        <w:contextualSpacing/>
        <w:rPr>
          <w:sz w:val="20"/>
          <w:szCs w:val="20"/>
        </w:rPr>
      </w:pPr>
    </w:p>
    <w:p w14:paraId="0CFDB9A4" w14:textId="77777777" w:rsidR="00BE40EF" w:rsidRPr="00BE40EF" w:rsidRDefault="00BE40EF" w:rsidP="00BE40EF">
      <w:pPr>
        <w:ind w:right="-7"/>
        <w:contextualSpacing/>
        <w:jc w:val="center"/>
        <w:rPr>
          <w:sz w:val="20"/>
          <w:szCs w:val="20"/>
        </w:rPr>
      </w:pPr>
      <w:r w:rsidRPr="00BE40EF">
        <w:rPr>
          <w:sz w:val="20"/>
          <w:szCs w:val="20"/>
        </w:rPr>
        <w:t>**</w:t>
      </w:r>
    </w:p>
    <w:p w14:paraId="7CC77CE0" w14:textId="77777777" w:rsidR="00BE40EF" w:rsidRPr="00BE40EF" w:rsidRDefault="00BE40EF" w:rsidP="00BE40EF">
      <w:pPr>
        <w:ind w:right="-7"/>
        <w:contextualSpacing/>
        <w:rPr>
          <w:i/>
          <w:sz w:val="20"/>
          <w:szCs w:val="20"/>
        </w:rPr>
      </w:pPr>
    </w:p>
    <w:p w14:paraId="0C0E9557" w14:textId="77777777" w:rsidR="00BE40EF" w:rsidRPr="00BE40EF" w:rsidRDefault="00BE40EF" w:rsidP="00BE40EF">
      <w:pPr>
        <w:ind w:right="-7"/>
        <w:contextualSpacing/>
        <w:rPr>
          <w:i/>
          <w:sz w:val="20"/>
          <w:szCs w:val="20"/>
        </w:rPr>
      </w:pPr>
      <w:r w:rsidRPr="00BE40EF">
        <w:rPr>
          <w:i/>
          <w:sz w:val="20"/>
          <w:szCs w:val="20"/>
        </w:rPr>
        <w:t>3 Journal Square, 2935 John F Kennedy Boulevard, Jersey City, NJ  07306; http://threejournalsquare.com</w:t>
      </w:r>
    </w:p>
    <w:p w14:paraId="2683D6BD"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Developers:</w:t>
      </w:r>
    </w:p>
    <w:p w14:paraId="2AD1E9FA" w14:textId="77777777" w:rsidR="00BE40EF" w:rsidRPr="00BE40EF" w:rsidRDefault="00BE40EF" w:rsidP="00BE40EF">
      <w:pPr>
        <w:pStyle w:val="ListParagraph"/>
        <w:ind w:left="360" w:right="-7"/>
        <w:rPr>
          <w:rFonts w:ascii="Times New Roman" w:hAnsi="Times New Roman"/>
          <w:sz w:val="20"/>
          <w:szCs w:val="20"/>
        </w:rPr>
      </w:pPr>
      <w:proofErr w:type="spellStart"/>
      <w:r w:rsidRPr="00BE40EF">
        <w:rPr>
          <w:rFonts w:ascii="Times New Roman" w:hAnsi="Times New Roman"/>
          <w:sz w:val="20"/>
          <w:szCs w:val="20"/>
        </w:rPr>
        <w:t>Hartz</w:t>
      </w:r>
      <w:proofErr w:type="spellEnd"/>
      <w:r w:rsidRPr="00BE40EF">
        <w:rPr>
          <w:rFonts w:ascii="Times New Roman" w:hAnsi="Times New Roman"/>
          <w:sz w:val="20"/>
          <w:szCs w:val="20"/>
        </w:rPr>
        <w:t xml:space="preserve"> Mountain Industries, Inc.; Secaucus, New Jersey; http://www.hartzmountain.com</w:t>
      </w:r>
    </w:p>
    <w:p w14:paraId="5209E314" w14:textId="77777777" w:rsidR="00BE40EF" w:rsidRPr="00BE40EF" w:rsidRDefault="00BE40EF" w:rsidP="00BE40EF">
      <w:pPr>
        <w:pStyle w:val="ListParagraph"/>
        <w:ind w:left="360" w:right="-7"/>
        <w:rPr>
          <w:rFonts w:ascii="Times New Roman" w:hAnsi="Times New Roman"/>
          <w:sz w:val="20"/>
          <w:szCs w:val="20"/>
        </w:rPr>
      </w:pPr>
      <w:proofErr w:type="spellStart"/>
      <w:r w:rsidRPr="00BE40EF">
        <w:rPr>
          <w:rFonts w:ascii="Times New Roman" w:hAnsi="Times New Roman"/>
          <w:sz w:val="20"/>
          <w:szCs w:val="20"/>
        </w:rPr>
        <w:t>Panepinto</w:t>
      </w:r>
      <w:proofErr w:type="spellEnd"/>
      <w:r w:rsidRPr="00BE40EF">
        <w:rPr>
          <w:rFonts w:ascii="Times New Roman" w:hAnsi="Times New Roman"/>
          <w:sz w:val="20"/>
          <w:szCs w:val="20"/>
        </w:rPr>
        <w:t xml:space="preserve"> Properties Inc.; Jersey City, New Jersey; http://www.panepintoproperties.com</w:t>
      </w:r>
    </w:p>
    <w:p w14:paraId="60594623"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Property manager: </w:t>
      </w:r>
      <w:proofErr w:type="spellStart"/>
      <w:r w:rsidRPr="00BE40EF">
        <w:rPr>
          <w:rFonts w:ascii="Times New Roman" w:hAnsi="Times New Roman"/>
          <w:sz w:val="20"/>
          <w:szCs w:val="20"/>
        </w:rPr>
        <w:t>Greystar</w:t>
      </w:r>
      <w:proofErr w:type="spellEnd"/>
      <w:r w:rsidRPr="00BE40EF">
        <w:rPr>
          <w:rFonts w:ascii="Times New Roman" w:hAnsi="Times New Roman"/>
          <w:sz w:val="20"/>
          <w:szCs w:val="20"/>
        </w:rPr>
        <w:t xml:space="preserve"> Real Estate Partners, LLC; New York office; www.greystar.com</w:t>
      </w:r>
    </w:p>
    <w:p w14:paraId="5BE49EAE"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Architect: </w:t>
      </w:r>
      <w:proofErr w:type="spellStart"/>
      <w:r w:rsidRPr="00BE40EF">
        <w:rPr>
          <w:rFonts w:ascii="Times New Roman" w:hAnsi="Times New Roman"/>
          <w:sz w:val="20"/>
          <w:szCs w:val="20"/>
        </w:rPr>
        <w:t>Marchetto</w:t>
      </w:r>
      <w:proofErr w:type="spellEnd"/>
      <w:r w:rsidRPr="00BE40EF">
        <w:rPr>
          <w:rFonts w:ascii="Times New Roman" w:hAnsi="Times New Roman"/>
          <w:sz w:val="20"/>
          <w:szCs w:val="20"/>
        </w:rPr>
        <w:t xml:space="preserve"> Higgins </w:t>
      </w:r>
      <w:proofErr w:type="spellStart"/>
      <w:r w:rsidRPr="00BE40EF">
        <w:rPr>
          <w:rFonts w:ascii="Times New Roman" w:hAnsi="Times New Roman"/>
          <w:sz w:val="20"/>
          <w:szCs w:val="20"/>
        </w:rPr>
        <w:t>Stieve</w:t>
      </w:r>
      <w:proofErr w:type="spellEnd"/>
      <w:r w:rsidRPr="00BE40EF">
        <w:rPr>
          <w:rFonts w:ascii="Times New Roman" w:hAnsi="Times New Roman"/>
          <w:sz w:val="20"/>
          <w:szCs w:val="20"/>
        </w:rPr>
        <w:t xml:space="preserve"> Architects; Jersey City, New Jersey; http://mhsarchitects.com</w:t>
      </w:r>
    </w:p>
    <w:p w14:paraId="6CA85D9D"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Interior designer: The Childs | Dreyfus Group; Chicago; http://www.childsdreyfus.com</w:t>
      </w:r>
    </w:p>
    <w:p w14:paraId="121C392A"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General contractor: </w:t>
      </w:r>
      <w:proofErr w:type="spellStart"/>
      <w:r w:rsidRPr="00BE40EF">
        <w:rPr>
          <w:rStyle w:val="s1"/>
          <w:rFonts w:ascii="Times New Roman" w:eastAsia="Times New Roman" w:hAnsi="Times New Roman"/>
          <w:sz w:val="20"/>
          <w:szCs w:val="20"/>
        </w:rPr>
        <w:t>Tocci</w:t>
      </w:r>
      <w:proofErr w:type="spellEnd"/>
      <w:r w:rsidRPr="00BE40EF">
        <w:rPr>
          <w:rStyle w:val="s1"/>
          <w:rFonts w:ascii="Times New Roman" w:eastAsia="Times New Roman" w:hAnsi="Times New Roman"/>
          <w:sz w:val="20"/>
          <w:szCs w:val="20"/>
        </w:rPr>
        <w:t xml:space="preserve"> Building Corporation; Woburn, Massachusetts; http://www.tocci.com</w:t>
      </w:r>
    </w:p>
    <w:p w14:paraId="5FC9ADBD"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Glazing contractor: City Newark Glass Company; </w:t>
      </w:r>
      <w:proofErr w:type="spellStart"/>
      <w:r w:rsidRPr="00BE40EF">
        <w:rPr>
          <w:rFonts w:ascii="Times New Roman" w:hAnsi="Times New Roman"/>
          <w:sz w:val="20"/>
          <w:szCs w:val="20"/>
        </w:rPr>
        <w:t>Bayonee</w:t>
      </w:r>
      <w:proofErr w:type="spellEnd"/>
      <w:r w:rsidRPr="00BE40EF">
        <w:rPr>
          <w:rFonts w:ascii="Times New Roman" w:hAnsi="Times New Roman"/>
          <w:sz w:val="20"/>
          <w:szCs w:val="20"/>
        </w:rPr>
        <w:t>, New Jersey; http://www.citynewarkglass.com</w:t>
      </w:r>
    </w:p>
    <w:p w14:paraId="571B0F50"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Glazing systems – window manufacturer: </w:t>
      </w:r>
      <w:proofErr w:type="spellStart"/>
      <w:r w:rsidRPr="00BE40EF">
        <w:rPr>
          <w:rFonts w:ascii="Times New Roman" w:hAnsi="Times New Roman"/>
          <w:sz w:val="20"/>
          <w:szCs w:val="20"/>
        </w:rPr>
        <w:t>Winco</w:t>
      </w:r>
      <w:proofErr w:type="spellEnd"/>
      <w:r w:rsidRPr="00BE40EF">
        <w:rPr>
          <w:rFonts w:ascii="Times New Roman" w:hAnsi="Times New Roman"/>
          <w:sz w:val="20"/>
          <w:szCs w:val="20"/>
        </w:rPr>
        <w:t xml:space="preserve"> Windows; St. Louis; http://www.wincowindow.com</w:t>
      </w:r>
    </w:p>
    <w:p w14:paraId="4427603B" w14:textId="77777777" w:rsidR="00BE40EF"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Glazing systems – finishing and thermal improvement services: Linetec, Wausau, Wisconsin; http://www.linetec.com</w:t>
      </w:r>
    </w:p>
    <w:p w14:paraId="35A38E0D" w14:textId="77777777" w:rsidR="00BC4169" w:rsidRPr="00BE40EF" w:rsidRDefault="00BE40EF" w:rsidP="00BE40EF">
      <w:pPr>
        <w:pStyle w:val="ListParagraph"/>
        <w:numPr>
          <w:ilvl w:val="0"/>
          <w:numId w:val="5"/>
        </w:numPr>
        <w:ind w:right="-7"/>
        <w:rPr>
          <w:rFonts w:ascii="Times New Roman" w:hAnsi="Times New Roman"/>
          <w:sz w:val="20"/>
          <w:szCs w:val="20"/>
        </w:rPr>
      </w:pPr>
      <w:r w:rsidRPr="00BE40EF">
        <w:rPr>
          <w:rFonts w:ascii="Times New Roman" w:hAnsi="Times New Roman"/>
          <w:sz w:val="20"/>
          <w:szCs w:val="20"/>
        </w:rPr>
        <w:t xml:space="preserve">Photos courtesy of: </w:t>
      </w:r>
      <w:proofErr w:type="spellStart"/>
      <w:r w:rsidRPr="00BE40EF">
        <w:rPr>
          <w:rFonts w:ascii="Times New Roman" w:hAnsi="Times New Roman"/>
          <w:sz w:val="20"/>
          <w:szCs w:val="20"/>
        </w:rPr>
        <w:t>Winco</w:t>
      </w:r>
      <w:proofErr w:type="spellEnd"/>
      <w:r w:rsidRPr="00BE40EF">
        <w:rPr>
          <w:rFonts w:ascii="Times New Roman" w:hAnsi="Times New Roman"/>
          <w:sz w:val="20"/>
          <w:szCs w:val="20"/>
        </w:rPr>
        <w:t xml:space="preserve"> Windows</w:t>
      </w:r>
    </w:p>
    <w:p w14:paraId="5E8D61A9" w14:textId="77777777" w:rsidR="00BE40EF" w:rsidRDefault="00BE40EF">
      <w:pPr>
        <w:rPr>
          <w:rFonts w:eastAsia="MS Mincho"/>
          <w:sz w:val="20"/>
          <w:szCs w:val="20"/>
        </w:rPr>
      </w:pPr>
      <w:r>
        <w:br w:type="page"/>
      </w:r>
    </w:p>
    <w:p w14:paraId="790CE60D" w14:textId="77777777" w:rsidR="00DB68D4" w:rsidRPr="00BE40EF" w:rsidRDefault="00DB68D4" w:rsidP="00BE40EF">
      <w:pPr>
        <w:pStyle w:val="NormalWeb"/>
        <w:ind w:right="-7"/>
        <w:contextualSpacing/>
        <w:rPr>
          <w:rFonts w:ascii="Times New Roman" w:hAnsi="Times New Roman"/>
          <w:i/>
        </w:rPr>
      </w:pPr>
      <w:bookmarkStart w:id="0" w:name="_GoBack"/>
      <w:bookmarkEnd w:id="0"/>
      <w:r w:rsidRPr="00BE40EF">
        <w:rPr>
          <w:rStyle w:val="Emphasis"/>
          <w:rFonts w:ascii="Times New Roman" w:hAnsi="Times New Roman"/>
        </w:rPr>
        <w:lastRenderedPageBreak/>
        <w:t xml:space="preserve">Located in Wisconsin,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"http://www.linetec.com" \t "_blank" </w:instrText>
      </w:r>
      <w:r w:rsidRPr="00BE40EF">
        <w:rPr>
          <w:rStyle w:val="Emphasis"/>
          <w:rFonts w:ascii="Times New Roman" w:hAnsi="Times New Roman"/>
        </w:rPr>
        <w:fldChar w:fldCharType="separate"/>
      </w:r>
      <w:r w:rsidRPr="00BE40EF">
        <w:rPr>
          <w:rStyle w:val="Hyperlink"/>
          <w:rFonts w:ascii="Times New Roman" w:hAnsi="Times New Roman"/>
          <w:i/>
          <w:iCs/>
        </w:rPr>
        <w:t>Linetec</w:t>
      </w:r>
      <w:r w:rsidRPr="00BE40EF">
        <w:rPr>
          <w:rStyle w:val="Emphasis"/>
          <w:rFonts w:ascii="Times New Roman" w:hAnsi="Times New Roman"/>
        </w:rPr>
        <w:fldChar w:fldCharType="end"/>
      </w:r>
      <w:r w:rsidRPr="00BE40EF">
        <w:rPr>
          <w:rStyle w:val="Emphasis"/>
          <w:rFonts w:ascii="Times New Roman" w:hAnsi="Times New Roman"/>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"http://www.apog.com" \t "_blank" </w:instrText>
      </w:r>
      <w:r w:rsidRPr="00BE40EF">
        <w:rPr>
          <w:rStyle w:val="Emphasis"/>
          <w:rFonts w:ascii="Times New Roman" w:hAnsi="Times New Roman"/>
        </w:rPr>
        <w:fldChar w:fldCharType="separate"/>
      </w:r>
      <w:r w:rsidRPr="00BE40EF">
        <w:rPr>
          <w:rStyle w:val="Hyperlink"/>
          <w:rFonts w:ascii="Times New Roman" w:hAnsi="Times New Roman"/>
          <w:i/>
          <w:iCs/>
        </w:rPr>
        <w:t xml:space="preserve">Apogee Enterprises, Inc. </w:t>
      </w:r>
      <w:r w:rsidRPr="00BE40EF">
        <w:rPr>
          <w:rStyle w:val="Emphasis"/>
          <w:rFonts w:ascii="Times New Roman" w:hAnsi="Times New Roman"/>
        </w:rPr>
        <w:fldChar w:fldCharType="end"/>
      </w:r>
      <w:r w:rsidRPr="00BE40EF">
        <w:rPr>
          <w:rStyle w:val="Emphasis"/>
          <w:rFonts w:ascii="Times New Roman" w:hAnsi="Times New Roman"/>
        </w:rPr>
        <w:t>(NASDAQ: APOG).</w:t>
      </w:r>
    </w:p>
    <w:p w14:paraId="7EE27DB3" w14:textId="77777777" w:rsidR="00DB68D4" w:rsidRPr="00BE40EF" w:rsidRDefault="00DB68D4" w:rsidP="00BE40EF">
      <w:pPr>
        <w:pStyle w:val="NormalWeb"/>
        <w:ind w:right="-7"/>
        <w:contextualSpacing/>
        <w:rPr>
          <w:rStyle w:val="Emphasis"/>
          <w:rFonts w:ascii="Times New Roman" w:hAnsi="Times New Roman"/>
        </w:rPr>
      </w:pPr>
    </w:p>
    <w:p w14:paraId="51FD3B54" w14:textId="77777777" w:rsidR="00DB68D4" w:rsidRPr="00BE40EF" w:rsidRDefault="00DB68D4" w:rsidP="00BE40EF">
      <w:pPr>
        <w:pStyle w:val="NormalWeb"/>
        <w:ind w:right="-7"/>
        <w:contextualSpacing/>
        <w:rPr>
          <w:rFonts w:ascii="Times New Roman" w:hAnsi="Times New Roman"/>
          <w:i/>
        </w:rPr>
      </w:pPr>
      <w:r w:rsidRPr="00BE40EF">
        <w:rPr>
          <w:rStyle w:val="Emphasis"/>
          <w:rFonts w:ascii="Times New Roman" w:hAnsi="Times New Roman"/>
        </w:rPr>
        <w:t>Linetec is a member of the Aluminum Anodizers Council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"http://www.anodizing.org" \t "_blank" </w:instrText>
      </w:r>
      <w:r w:rsidRPr="00BE40EF">
        <w:rPr>
          <w:rStyle w:val="Emphasis"/>
          <w:rFonts w:ascii="Times New Roman" w:hAnsi="Times New Roman"/>
        </w:rPr>
        <w:fldChar w:fldCharType="separate"/>
      </w:r>
      <w:proofErr w:type="spellStart"/>
      <w:r w:rsidRPr="00BE40EF">
        <w:rPr>
          <w:rStyle w:val="Hyperlink"/>
          <w:rFonts w:ascii="Times New Roman" w:hAnsi="Times New Roman"/>
          <w:i/>
          <w:iCs/>
        </w:rPr>
        <w:t>AAC</w:t>
      </w:r>
      <w:proofErr w:type="spellEnd"/>
      <w:r w:rsidRPr="00BE40EF">
        <w:rPr>
          <w:rStyle w:val="Emphasis"/>
          <w:rFonts w:ascii="Times New Roman" w:hAnsi="Times New Roman"/>
        </w:rPr>
        <w:fldChar w:fldCharType="end"/>
      </w:r>
      <w:r w:rsidRPr="00BE40EF">
        <w:rPr>
          <w:rStyle w:val="Emphasis"/>
          <w:rFonts w:ascii="Times New Roman" w:hAnsi="Times New Roman"/>
        </w:rPr>
        <w:t>), the American Architectural Manufacturers Association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"http://www.aamanet.org" \t "_blank" </w:instrText>
      </w:r>
      <w:r w:rsidRPr="00BE40EF">
        <w:rPr>
          <w:rStyle w:val="Emphasis"/>
          <w:rFonts w:ascii="Times New Roman" w:hAnsi="Times New Roman"/>
        </w:rPr>
        <w:fldChar w:fldCharType="separate"/>
      </w:r>
      <w:proofErr w:type="spellStart"/>
      <w:r w:rsidRPr="00BE40EF">
        <w:rPr>
          <w:rStyle w:val="Hyperlink"/>
          <w:rFonts w:ascii="Times New Roman" w:hAnsi="Times New Roman"/>
          <w:i/>
          <w:iCs/>
        </w:rPr>
        <w:t>AAMA</w:t>
      </w:r>
      <w:proofErr w:type="spellEnd"/>
      <w:r w:rsidRPr="00BE40EF">
        <w:rPr>
          <w:rStyle w:val="Emphasis"/>
          <w:rFonts w:ascii="Times New Roman" w:hAnsi="Times New Roman"/>
        </w:rPr>
        <w:fldChar w:fldCharType="end"/>
      </w:r>
      <w:r w:rsidRPr="00BE40EF">
        <w:rPr>
          <w:rStyle w:val="Emphasis"/>
          <w:rFonts w:ascii="Times New Roman" w:hAnsi="Times New Roman"/>
        </w:rPr>
        <w:t>), the American Institute of Architects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"http://www.aia.org" \t "_blank" </w:instrText>
      </w:r>
      <w:r w:rsidRPr="00BE40EF">
        <w:rPr>
          <w:rStyle w:val="Emphasis"/>
          <w:rFonts w:ascii="Times New Roman" w:hAnsi="Times New Roman"/>
        </w:rPr>
        <w:fldChar w:fldCharType="separate"/>
      </w:r>
      <w:r w:rsidRPr="00BE40EF">
        <w:rPr>
          <w:rStyle w:val="Hyperlink"/>
          <w:rFonts w:ascii="Times New Roman" w:hAnsi="Times New Roman"/>
          <w:i/>
          <w:iCs/>
        </w:rPr>
        <w:t>AIA</w:t>
      </w:r>
      <w:r w:rsidRPr="00BE40EF">
        <w:rPr>
          <w:rStyle w:val="Emphasis"/>
          <w:rFonts w:ascii="Times New Roman" w:hAnsi="Times New Roman"/>
        </w:rPr>
        <w:fldChar w:fldCharType="end"/>
      </w:r>
      <w:r w:rsidRPr="00BE40EF">
        <w:rPr>
          <w:rStyle w:val="Emphasis"/>
          <w:rFonts w:ascii="Times New Roman" w:hAnsi="Times New Roman"/>
        </w:rPr>
        <w:t>), the Association of Licensed Architects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"http://www.alatoday.org" \t "_blank" </w:instrText>
      </w:r>
      <w:r w:rsidRPr="00BE40EF">
        <w:rPr>
          <w:rStyle w:val="Emphasis"/>
          <w:rFonts w:ascii="Times New Roman" w:hAnsi="Times New Roman"/>
        </w:rPr>
        <w:fldChar w:fldCharType="separate"/>
      </w:r>
      <w:proofErr w:type="spellStart"/>
      <w:r w:rsidRPr="00BE40EF">
        <w:rPr>
          <w:rStyle w:val="Hyperlink"/>
          <w:rFonts w:ascii="Times New Roman" w:hAnsi="Times New Roman"/>
          <w:i/>
          <w:iCs/>
        </w:rPr>
        <w:t>ALA</w:t>
      </w:r>
      <w:proofErr w:type="spellEnd"/>
      <w:r w:rsidRPr="00BE40EF">
        <w:rPr>
          <w:rStyle w:val="Emphasis"/>
          <w:rFonts w:ascii="Times New Roman" w:hAnsi="Times New Roman"/>
        </w:rPr>
        <w:fldChar w:fldCharType="end"/>
      </w:r>
      <w:r w:rsidRPr="00BE40EF">
        <w:rPr>
          <w:rStyle w:val="Emphasis"/>
          <w:rFonts w:ascii="Times New Roman" w:hAnsi="Times New Roman"/>
        </w:rPr>
        <w:t>), the Glass Association of North America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"http://www.glasswebsite.com/" \t "_blank" </w:instrText>
      </w:r>
      <w:r w:rsidRPr="00BE40EF">
        <w:rPr>
          <w:rStyle w:val="Emphasis"/>
          <w:rFonts w:ascii="Times New Roman" w:hAnsi="Times New Roman"/>
        </w:rPr>
        <w:fldChar w:fldCharType="separate"/>
      </w:r>
      <w:r w:rsidRPr="00BE40EF">
        <w:rPr>
          <w:rStyle w:val="Hyperlink"/>
          <w:rFonts w:ascii="Times New Roman" w:hAnsi="Times New Roman"/>
          <w:i/>
          <w:iCs/>
        </w:rPr>
        <w:t>GANA</w:t>
      </w:r>
      <w:r w:rsidRPr="00BE40EF">
        <w:rPr>
          <w:rStyle w:val="Emphasis"/>
          <w:rFonts w:ascii="Times New Roman" w:hAnsi="Times New Roman"/>
        </w:rPr>
        <w:fldChar w:fldCharType="end"/>
      </w:r>
      <w:r w:rsidRPr="00BE40EF">
        <w:rPr>
          <w:rStyle w:val="Emphasis"/>
          <w:rFonts w:ascii="Times New Roman" w:hAnsi="Times New Roman"/>
        </w:rPr>
        <w:t>), the U.S. Green Building Council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"http://www.usgbc.org" \t "_blank" </w:instrText>
      </w:r>
      <w:r w:rsidRPr="00BE40EF">
        <w:rPr>
          <w:rStyle w:val="Emphasis"/>
          <w:rFonts w:ascii="Times New Roman" w:hAnsi="Times New Roman"/>
        </w:rPr>
        <w:fldChar w:fldCharType="separate"/>
      </w:r>
      <w:proofErr w:type="spellStart"/>
      <w:r w:rsidRPr="00BE40EF">
        <w:rPr>
          <w:rStyle w:val="Hyperlink"/>
          <w:rFonts w:ascii="Times New Roman" w:hAnsi="Times New Roman"/>
          <w:i/>
          <w:iCs/>
        </w:rPr>
        <w:t>USGBC</w:t>
      </w:r>
      <w:proofErr w:type="spellEnd"/>
      <w:r w:rsidRPr="00BE40EF">
        <w:rPr>
          <w:rStyle w:val="Emphasis"/>
          <w:rFonts w:ascii="Times New Roman" w:hAnsi="Times New Roman"/>
        </w:rPr>
        <w:fldChar w:fldCharType="end"/>
      </w:r>
      <w:r w:rsidRPr="00BE40EF">
        <w:rPr>
          <w:rStyle w:val="Emphasis"/>
          <w:rFonts w:ascii="Times New Roman" w:hAnsi="Times New Roman"/>
        </w:rPr>
        <w:t>) and the Window and Door Manufacturers Association (</w:t>
      </w:r>
      <w:r w:rsidRPr="00BE40EF">
        <w:rPr>
          <w:rStyle w:val="Emphasis"/>
          <w:rFonts w:ascii="Times New Roman" w:hAnsi="Times New Roman"/>
        </w:rPr>
        <w:fldChar w:fldCharType="begin"/>
      </w:r>
      <w:r w:rsidRPr="00BE40EF">
        <w:rPr>
          <w:rStyle w:val="Emphasis"/>
          <w:rFonts w:ascii="Times New Roman" w:hAnsi="Times New Roman"/>
        </w:rPr>
        <w:instrText xml:space="preserve"> HYPERLINK "http://www.wdma.com" \t "_blank" </w:instrText>
      </w:r>
      <w:r w:rsidRPr="00BE40EF">
        <w:rPr>
          <w:rStyle w:val="Emphasis"/>
          <w:rFonts w:ascii="Times New Roman" w:hAnsi="Times New Roman"/>
        </w:rPr>
        <w:fldChar w:fldCharType="separate"/>
      </w:r>
      <w:proofErr w:type="spellStart"/>
      <w:r w:rsidRPr="00BE40EF">
        <w:rPr>
          <w:rStyle w:val="Hyperlink"/>
          <w:rFonts w:ascii="Times New Roman" w:hAnsi="Times New Roman"/>
          <w:i/>
          <w:iCs/>
        </w:rPr>
        <w:t>WDMA</w:t>
      </w:r>
      <w:proofErr w:type="spellEnd"/>
      <w:r w:rsidRPr="00BE40EF">
        <w:rPr>
          <w:rStyle w:val="Emphasis"/>
          <w:rFonts w:ascii="Times New Roman" w:hAnsi="Times New Roman"/>
        </w:rPr>
        <w:fldChar w:fldCharType="end"/>
      </w:r>
      <w:r w:rsidRPr="00BE40EF">
        <w:rPr>
          <w:rStyle w:val="Emphasis"/>
          <w:rFonts w:ascii="Times New Roman" w:hAnsi="Times New Roman"/>
        </w:rPr>
        <w:t>).</w:t>
      </w:r>
    </w:p>
    <w:p w14:paraId="7AD9F6BB" w14:textId="77777777" w:rsidR="006051AE" w:rsidRPr="00BE40EF" w:rsidRDefault="00DB68D4" w:rsidP="00BE40EF">
      <w:pPr>
        <w:pStyle w:val="NormalWeb"/>
        <w:ind w:right="-7"/>
        <w:contextualSpacing/>
        <w:jc w:val="center"/>
        <w:rPr>
          <w:rFonts w:ascii="Times New Roman" w:hAnsi="Times New Roman"/>
          <w:i/>
        </w:rPr>
      </w:pPr>
      <w:r w:rsidRPr="00BE40EF">
        <w:rPr>
          <w:rStyle w:val="Emphasis"/>
          <w:rFonts w:ascii="Times New Roman" w:hAnsi="Times New Roman"/>
        </w:rPr>
        <w:t>###</w:t>
      </w:r>
    </w:p>
    <w:sectPr w:rsidR="006051AE" w:rsidRPr="00BE40EF" w:rsidSect="00146A08">
      <w:type w:val="continuous"/>
      <w:pgSz w:w="12240" w:h="15840"/>
      <w:pgMar w:top="1440" w:right="171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A45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732497"/>
    <w:multiLevelType w:val="hybridMultilevel"/>
    <w:tmpl w:val="61F43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534D4"/>
    <w:rsid w:val="000552CE"/>
    <w:rsid w:val="00066830"/>
    <w:rsid w:val="00074D99"/>
    <w:rsid w:val="00080AA6"/>
    <w:rsid w:val="00084115"/>
    <w:rsid w:val="00096563"/>
    <w:rsid w:val="000A25A1"/>
    <w:rsid w:val="000A3577"/>
    <w:rsid w:val="000E3EA9"/>
    <w:rsid w:val="000F3123"/>
    <w:rsid w:val="00106510"/>
    <w:rsid w:val="00107FF0"/>
    <w:rsid w:val="00121F88"/>
    <w:rsid w:val="00124289"/>
    <w:rsid w:val="00132C72"/>
    <w:rsid w:val="001455DF"/>
    <w:rsid w:val="00146A08"/>
    <w:rsid w:val="00182EB8"/>
    <w:rsid w:val="00183191"/>
    <w:rsid w:val="00184486"/>
    <w:rsid w:val="0018464E"/>
    <w:rsid w:val="00187904"/>
    <w:rsid w:val="00191F8E"/>
    <w:rsid w:val="001A038A"/>
    <w:rsid w:val="001B3B5D"/>
    <w:rsid w:val="001C25C0"/>
    <w:rsid w:val="001C71D3"/>
    <w:rsid w:val="001E168F"/>
    <w:rsid w:val="001F464A"/>
    <w:rsid w:val="00211F79"/>
    <w:rsid w:val="002157C3"/>
    <w:rsid w:val="002158E7"/>
    <w:rsid w:val="00220CEC"/>
    <w:rsid w:val="002226B9"/>
    <w:rsid w:val="00234270"/>
    <w:rsid w:val="002361E5"/>
    <w:rsid w:val="00237467"/>
    <w:rsid w:val="00273976"/>
    <w:rsid w:val="00281AD3"/>
    <w:rsid w:val="002B0081"/>
    <w:rsid w:val="002B1AFE"/>
    <w:rsid w:val="002D74B4"/>
    <w:rsid w:val="002F5A64"/>
    <w:rsid w:val="00302BB4"/>
    <w:rsid w:val="003158B5"/>
    <w:rsid w:val="003274CD"/>
    <w:rsid w:val="00335C9D"/>
    <w:rsid w:val="00335F58"/>
    <w:rsid w:val="00345C55"/>
    <w:rsid w:val="00346D36"/>
    <w:rsid w:val="00361490"/>
    <w:rsid w:val="00362102"/>
    <w:rsid w:val="003664D7"/>
    <w:rsid w:val="003962C6"/>
    <w:rsid w:val="003B4079"/>
    <w:rsid w:val="003B4813"/>
    <w:rsid w:val="003D2549"/>
    <w:rsid w:val="0042006E"/>
    <w:rsid w:val="00425144"/>
    <w:rsid w:val="004342C8"/>
    <w:rsid w:val="00440591"/>
    <w:rsid w:val="004407D4"/>
    <w:rsid w:val="00444DBE"/>
    <w:rsid w:val="00477B9B"/>
    <w:rsid w:val="0048028C"/>
    <w:rsid w:val="00485572"/>
    <w:rsid w:val="004C3D90"/>
    <w:rsid w:val="004C4DFE"/>
    <w:rsid w:val="004D7D1E"/>
    <w:rsid w:val="00500CEB"/>
    <w:rsid w:val="00533234"/>
    <w:rsid w:val="00545B80"/>
    <w:rsid w:val="00551E99"/>
    <w:rsid w:val="00561675"/>
    <w:rsid w:val="00571542"/>
    <w:rsid w:val="00571CBE"/>
    <w:rsid w:val="005903D5"/>
    <w:rsid w:val="005C21B3"/>
    <w:rsid w:val="005D76EE"/>
    <w:rsid w:val="005E62A0"/>
    <w:rsid w:val="00603E7F"/>
    <w:rsid w:val="006051AE"/>
    <w:rsid w:val="006570F2"/>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3856"/>
    <w:rsid w:val="007C5D16"/>
    <w:rsid w:val="007F03A9"/>
    <w:rsid w:val="00813712"/>
    <w:rsid w:val="00815700"/>
    <w:rsid w:val="0082451E"/>
    <w:rsid w:val="00831C38"/>
    <w:rsid w:val="00833C20"/>
    <w:rsid w:val="008466C0"/>
    <w:rsid w:val="008641A4"/>
    <w:rsid w:val="00876105"/>
    <w:rsid w:val="0088502E"/>
    <w:rsid w:val="00887B7D"/>
    <w:rsid w:val="008916D2"/>
    <w:rsid w:val="00894AF1"/>
    <w:rsid w:val="008C49F8"/>
    <w:rsid w:val="008D25CD"/>
    <w:rsid w:val="008D4CBD"/>
    <w:rsid w:val="008E33E5"/>
    <w:rsid w:val="008E3E5E"/>
    <w:rsid w:val="008E4196"/>
    <w:rsid w:val="00914CC5"/>
    <w:rsid w:val="00916740"/>
    <w:rsid w:val="00934344"/>
    <w:rsid w:val="00970CFA"/>
    <w:rsid w:val="009A7759"/>
    <w:rsid w:val="009B2322"/>
    <w:rsid w:val="00A232EA"/>
    <w:rsid w:val="00A371B5"/>
    <w:rsid w:val="00A559B1"/>
    <w:rsid w:val="00A66A3F"/>
    <w:rsid w:val="00A752EA"/>
    <w:rsid w:val="00A7549B"/>
    <w:rsid w:val="00A75E60"/>
    <w:rsid w:val="00A92505"/>
    <w:rsid w:val="00AC478B"/>
    <w:rsid w:val="00AE2A13"/>
    <w:rsid w:val="00AE46E7"/>
    <w:rsid w:val="00AE4759"/>
    <w:rsid w:val="00AF279B"/>
    <w:rsid w:val="00B07E0F"/>
    <w:rsid w:val="00B2392C"/>
    <w:rsid w:val="00B264C2"/>
    <w:rsid w:val="00B34C55"/>
    <w:rsid w:val="00B450C4"/>
    <w:rsid w:val="00B46DA5"/>
    <w:rsid w:val="00B511D6"/>
    <w:rsid w:val="00B549A1"/>
    <w:rsid w:val="00B74792"/>
    <w:rsid w:val="00B82C51"/>
    <w:rsid w:val="00B90A2F"/>
    <w:rsid w:val="00B95436"/>
    <w:rsid w:val="00BA0F46"/>
    <w:rsid w:val="00BA454B"/>
    <w:rsid w:val="00BA51EE"/>
    <w:rsid w:val="00BB2152"/>
    <w:rsid w:val="00BC3337"/>
    <w:rsid w:val="00BC4169"/>
    <w:rsid w:val="00BC622F"/>
    <w:rsid w:val="00BD5379"/>
    <w:rsid w:val="00BD60D4"/>
    <w:rsid w:val="00BE40EF"/>
    <w:rsid w:val="00BE47BE"/>
    <w:rsid w:val="00C03265"/>
    <w:rsid w:val="00C06F0C"/>
    <w:rsid w:val="00C2421E"/>
    <w:rsid w:val="00C2582A"/>
    <w:rsid w:val="00C33EB6"/>
    <w:rsid w:val="00C37E75"/>
    <w:rsid w:val="00C93B17"/>
    <w:rsid w:val="00CB21CA"/>
    <w:rsid w:val="00CB4668"/>
    <w:rsid w:val="00CE41E4"/>
    <w:rsid w:val="00CF2832"/>
    <w:rsid w:val="00D15B49"/>
    <w:rsid w:val="00D37826"/>
    <w:rsid w:val="00D445D6"/>
    <w:rsid w:val="00D456A0"/>
    <w:rsid w:val="00D609BE"/>
    <w:rsid w:val="00D75014"/>
    <w:rsid w:val="00D77B49"/>
    <w:rsid w:val="00D8220E"/>
    <w:rsid w:val="00D9253D"/>
    <w:rsid w:val="00DB68D4"/>
    <w:rsid w:val="00DC625B"/>
    <w:rsid w:val="00DD5E6D"/>
    <w:rsid w:val="00DE430F"/>
    <w:rsid w:val="00DE4FEB"/>
    <w:rsid w:val="00DF1A70"/>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87485"/>
    <w:rsid w:val="00E919FC"/>
    <w:rsid w:val="00E91E22"/>
    <w:rsid w:val="00E97B5C"/>
    <w:rsid w:val="00EA515C"/>
    <w:rsid w:val="00EC1C8A"/>
    <w:rsid w:val="00EC578A"/>
    <w:rsid w:val="00ED0D6D"/>
    <w:rsid w:val="00ED44F3"/>
    <w:rsid w:val="00EE35D5"/>
    <w:rsid w:val="00EF6280"/>
    <w:rsid w:val="00EF65D8"/>
    <w:rsid w:val="00F0574E"/>
    <w:rsid w:val="00F24DD8"/>
    <w:rsid w:val="00F510B1"/>
    <w:rsid w:val="00F624A0"/>
    <w:rsid w:val="00F63272"/>
    <w:rsid w:val="00F7065D"/>
    <w:rsid w:val="00F71B9F"/>
    <w:rsid w:val="00F71F9A"/>
    <w:rsid w:val="00FA0180"/>
    <w:rsid w:val="00FA185F"/>
    <w:rsid w:val="00FA2D03"/>
    <w:rsid w:val="00FC0D5B"/>
    <w:rsid w:val="00FC453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A3DD-7386-7C4C-9118-DC113F2F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6136</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7198</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2</cp:revision>
  <cp:lastPrinted>2015-04-05T15:08:00Z</cp:lastPrinted>
  <dcterms:created xsi:type="dcterms:W3CDTF">2018-01-30T01:34:00Z</dcterms:created>
  <dcterms:modified xsi:type="dcterms:W3CDTF">2018-01-30T01:34:00Z</dcterms:modified>
</cp:coreProperties>
</file>