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572C" w14:textId="77777777" w:rsidR="00B332B0" w:rsidRPr="00823285" w:rsidRDefault="00B332B0" w:rsidP="00823285">
      <w:pPr>
        <w:spacing w:after="0" w:line="240" w:lineRule="auto"/>
        <w:ind w:right="180"/>
        <w:contextualSpacing/>
        <w:rPr>
          <w:rFonts w:ascii="Book Antiqua" w:hAnsi="Book Antiqua"/>
          <w:i/>
          <w:iCs/>
          <w:sz w:val="18"/>
          <w:szCs w:val="18"/>
        </w:rPr>
      </w:pPr>
    </w:p>
    <w:p w14:paraId="4FAAB961" w14:textId="54A9EB2F" w:rsidR="00610216" w:rsidRPr="00823285" w:rsidRDefault="00751274" w:rsidP="00823285">
      <w:pPr>
        <w:spacing w:after="0" w:line="240" w:lineRule="auto"/>
        <w:ind w:right="180"/>
        <w:contextualSpacing/>
        <w:rPr>
          <w:rFonts w:ascii="Book Antiqua" w:hAnsi="Book Antiqua"/>
          <w:i/>
          <w:iCs/>
          <w:sz w:val="18"/>
          <w:szCs w:val="18"/>
        </w:rPr>
      </w:pPr>
      <w:r w:rsidRPr="00823285">
        <w:rPr>
          <w:rFonts w:ascii="Book Antiqua" w:hAnsi="Book Antiqua"/>
          <w:i/>
          <w:iCs/>
          <w:sz w:val="18"/>
          <w:szCs w:val="18"/>
        </w:rPr>
        <w:t>Media contact: Heather West, 612-724-8760, heather@heatherwestpr.com</w:t>
      </w:r>
    </w:p>
    <w:p w14:paraId="3B7C5B2C" w14:textId="2CC26F71" w:rsidR="00751274" w:rsidRPr="00E03521" w:rsidRDefault="00751274" w:rsidP="00823285">
      <w:pPr>
        <w:spacing w:after="0" w:line="240" w:lineRule="auto"/>
        <w:ind w:right="180"/>
        <w:contextualSpacing/>
        <w:rPr>
          <w:rFonts w:ascii="Book Antiqua" w:hAnsi="Book Antiqua"/>
          <w:i/>
          <w:iCs/>
          <w:sz w:val="24"/>
          <w:szCs w:val="24"/>
        </w:rPr>
      </w:pPr>
    </w:p>
    <w:p w14:paraId="2A1A2FE0" w14:textId="77777777" w:rsidR="00823285" w:rsidRDefault="00823285" w:rsidP="00823285">
      <w:pPr>
        <w:spacing w:after="0" w:line="240" w:lineRule="auto"/>
        <w:ind w:right="180"/>
        <w:contextualSpacing/>
        <w:rPr>
          <w:rFonts w:ascii="Book Antiqua" w:hAnsi="Book Antiqua"/>
          <w:b/>
          <w:bCs/>
          <w:sz w:val="30"/>
          <w:szCs w:val="30"/>
        </w:rPr>
      </w:pPr>
      <w:r w:rsidRPr="00062AD9">
        <w:rPr>
          <w:rFonts w:ascii="Book Antiqua" w:hAnsi="Book Antiqua"/>
          <w:b/>
          <w:bCs/>
          <w:sz w:val="30"/>
          <w:szCs w:val="30"/>
        </w:rPr>
        <w:t>Virginia’s new Monument Drive Transit Center showcases</w:t>
      </w:r>
    </w:p>
    <w:p w14:paraId="49AB7453" w14:textId="77777777" w:rsidR="00823285" w:rsidRPr="00062AD9" w:rsidRDefault="00823285" w:rsidP="00823285">
      <w:pPr>
        <w:spacing w:after="0" w:line="240" w:lineRule="auto"/>
        <w:ind w:right="180"/>
        <w:contextualSpacing/>
        <w:rPr>
          <w:rFonts w:ascii="Book Antiqua" w:hAnsi="Book Antiqua"/>
          <w:b/>
          <w:bCs/>
          <w:sz w:val="30"/>
          <w:szCs w:val="30"/>
        </w:rPr>
      </w:pPr>
      <w:r w:rsidRPr="00062AD9">
        <w:rPr>
          <w:rFonts w:ascii="Book Antiqua" w:hAnsi="Book Antiqua"/>
          <w:b/>
          <w:bCs/>
          <w:sz w:val="30"/>
          <w:szCs w:val="30"/>
        </w:rPr>
        <w:t>Linetec terra cotta finishes on EXTECH aluminum cladding system</w:t>
      </w:r>
    </w:p>
    <w:p w14:paraId="519A66B9" w14:textId="77777777" w:rsidR="00823285" w:rsidRDefault="00823285" w:rsidP="00823285">
      <w:pPr>
        <w:spacing w:after="0" w:line="240" w:lineRule="auto"/>
        <w:ind w:right="180"/>
        <w:contextualSpacing/>
        <w:rPr>
          <w:rFonts w:ascii="Book Antiqua" w:hAnsi="Book Antiqua"/>
        </w:rPr>
      </w:pPr>
    </w:p>
    <w:p w14:paraId="2B63A77E" w14:textId="130B58F2" w:rsidR="00823285" w:rsidRPr="00A1360B" w:rsidRDefault="00823285" w:rsidP="00823285">
      <w:pPr>
        <w:spacing w:after="0" w:line="240" w:lineRule="auto"/>
        <w:ind w:right="180"/>
        <w:contextualSpacing/>
        <w:rPr>
          <w:rFonts w:ascii="Book Antiqua" w:hAnsi="Book Antiqua"/>
        </w:rPr>
      </w:pPr>
      <w:r w:rsidRPr="00E03521">
        <w:rPr>
          <w:rFonts w:ascii="Book Antiqua" w:hAnsi="Book Antiqua"/>
        </w:rPr>
        <w:t>Wausau, Wisconsin (</w:t>
      </w:r>
      <w:r>
        <w:rPr>
          <w:rFonts w:ascii="Book Antiqua" w:hAnsi="Book Antiqua"/>
        </w:rPr>
        <w:t>May</w:t>
      </w:r>
      <w:r w:rsidRPr="00E03521">
        <w:rPr>
          <w:rFonts w:ascii="Book Antiqua" w:hAnsi="Book Antiqua"/>
        </w:rPr>
        <w:t xml:space="preserve"> 2024) – </w:t>
      </w:r>
      <w:r w:rsidRPr="00A1360B">
        <w:rPr>
          <w:rFonts w:ascii="Book Antiqua" w:hAnsi="Book Antiqua"/>
        </w:rPr>
        <w:t>The new Monument Drive Commuter Parking Garage and Transit Center in Fairfax, Virginia, showcases a unique aluminum cladding system manufactured and engineered by EXTECH/Exterior Technologies and finished by Linetec in textured terra cotta specialty architectural coatings.</w:t>
      </w:r>
    </w:p>
    <w:p w14:paraId="291D4FE9" w14:textId="77777777" w:rsidR="00823285" w:rsidRPr="00A1360B" w:rsidRDefault="00823285" w:rsidP="00823285">
      <w:pPr>
        <w:spacing w:after="0" w:line="240" w:lineRule="auto"/>
        <w:ind w:right="180"/>
        <w:contextualSpacing/>
        <w:rPr>
          <w:rFonts w:ascii="Book Antiqua" w:hAnsi="Book Antiqua"/>
        </w:rPr>
      </w:pPr>
    </w:p>
    <w:p w14:paraId="648F6DE4" w14:textId="77777777" w:rsidR="00823285" w:rsidRDefault="00823285" w:rsidP="00823285">
      <w:pPr>
        <w:spacing w:after="0" w:line="240" w:lineRule="auto"/>
        <w:ind w:right="180"/>
        <w:contextualSpacing/>
        <w:rPr>
          <w:rFonts w:ascii="Book Antiqua" w:hAnsi="Book Antiqua"/>
        </w:rPr>
      </w:pPr>
      <w:r w:rsidRPr="00A1360B">
        <w:rPr>
          <w:rFonts w:ascii="Book Antiqua" w:hAnsi="Book Antiqua"/>
        </w:rPr>
        <w:t>To create the 262,000-square-foot transit facility’s façade, Linetec finished more than 4,000 custom-profile</w:t>
      </w:r>
      <w:r w:rsidRPr="00115A30">
        <w:rPr>
          <w:rFonts w:ascii="Book Antiqua" w:hAnsi="Book Antiqua"/>
        </w:rPr>
        <w:t>d aluminum</w:t>
      </w:r>
      <w:r>
        <w:rPr>
          <w:rFonts w:ascii="Book Antiqua" w:hAnsi="Book Antiqua"/>
        </w:rPr>
        <w:t xml:space="preserve"> </w:t>
      </w:r>
      <w:r w:rsidRPr="00115A30">
        <w:rPr>
          <w:rFonts w:ascii="Book Antiqua" w:hAnsi="Book Antiqua"/>
        </w:rPr>
        <w:t xml:space="preserve">tube extrusions </w:t>
      </w:r>
      <w:r>
        <w:rPr>
          <w:rFonts w:ascii="Book Antiqua" w:hAnsi="Book Antiqua"/>
        </w:rPr>
        <w:t>and 768 wall panels that varied in both color and size. F</w:t>
      </w:r>
      <w:r w:rsidRPr="00644F53">
        <w:rPr>
          <w:rFonts w:ascii="Book Antiqua" w:hAnsi="Book Antiqua"/>
        </w:rPr>
        <w:t>our colors were specified in Linetec textured specialty finishes: Terra Cotta Orange, Terra Cotta Burnt Orange, Terra Cotta Brown and Terra Cotta Bronze.</w:t>
      </w:r>
      <w:r>
        <w:rPr>
          <w:rFonts w:ascii="Book Antiqua" w:hAnsi="Book Antiqua"/>
        </w:rPr>
        <w:t xml:space="preserve"> </w:t>
      </w:r>
      <w:r w:rsidRPr="00115A30">
        <w:rPr>
          <w:rFonts w:ascii="Book Antiqua" w:hAnsi="Book Antiqua"/>
        </w:rPr>
        <w:t xml:space="preserve">The individual vertical aluminum tube profiles </w:t>
      </w:r>
      <w:r>
        <w:rPr>
          <w:rFonts w:ascii="Book Antiqua" w:hAnsi="Book Antiqua"/>
        </w:rPr>
        <w:t>ranged</w:t>
      </w:r>
      <w:r w:rsidRPr="00115A30">
        <w:rPr>
          <w:rFonts w:ascii="Book Antiqua" w:hAnsi="Book Antiqua"/>
        </w:rPr>
        <w:t xml:space="preserve"> from 2 by 4 inches to 6 by 12 inches.</w:t>
      </w:r>
      <w:r>
        <w:rPr>
          <w:rFonts w:ascii="Book Antiqua" w:hAnsi="Book Antiqua"/>
        </w:rPr>
        <w:t xml:space="preserve"> </w:t>
      </w:r>
      <w:r w:rsidRPr="00115A30">
        <w:rPr>
          <w:rFonts w:ascii="Book Antiqua" w:hAnsi="Book Antiqua"/>
        </w:rPr>
        <w:t xml:space="preserve">The larger, pre-assembled panels </w:t>
      </w:r>
      <w:r>
        <w:rPr>
          <w:rFonts w:ascii="Book Antiqua" w:hAnsi="Book Antiqua"/>
        </w:rPr>
        <w:t>were finished to match in dimensions spanning</w:t>
      </w:r>
      <w:r w:rsidRPr="00115A30">
        <w:rPr>
          <w:rFonts w:ascii="Book Antiqua" w:hAnsi="Book Antiqua"/>
        </w:rPr>
        <w:t xml:space="preserve"> 7</w:t>
      </w:r>
      <w:r>
        <w:rPr>
          <w:rFonts w:ascii="Book Antiqua" w:hAnsi="Book Antiqua"/>
        </w:rPr>
        <w:t xml:space="preserve"> </w:t>
      </w:r>
      <w:r w:rsidRPr="00115A30">
        <w:rPr>
          <w:rFonts w:ascii="Book Antiqua" w:hAnsi="Book Antiqua"/>
        </w:rPr>
        <w:t>foot</w:t>
      </w:r>
      <w:r>
        <w:rPr>
          <w:rFonts w:ascii="Book Antiqua" w:hAnsi="Book Antiqua"/>
        </w:rPr>
        <w:t xml:space="preserve"> </w:t>
      </w:r>
      <w:r w:rsidRPr="00115A30">
        <w:rPr>
          <w:rFonts w:ascii="Book Antiqua" w:hAnsi="Book Antiqua"/>
        </w:rPr>
        <w:t>6</w:t>
      </w:r>
      <w:r>
        <w:rPr>
          <w:rFonts w:ascii="Book Antiqua" w:hAnsi="Book Antiqua"/>
        </w:rPr>
        <w:t xml:space="preserve"> </w:t>
      </w:r>
      <w:r w:rsidRPr="00115A30">
        <w:rPr>
          <w:rFonts w:ascii="Book Antiqua" w:hAnsi="Book Antiqua"/>
        </w:rPr>
        <w:t xml:space="preserve">inches wide </w:t>
      </w:r>
      <w:r>
        <w:rPr>
          <w:rFonts w:ascii="Book Antiqua" w:hAnsi="Book Antiqua"/>
        </w:rPr>
        <w:t xml:space="preserve">up to </w:t>
      </w:r>
      <w:r w:rsidRPr="00115A30">
        <w:rPr>
          <w:rFonts w:ascii="Book Antiqua" w:hAnsi="Book Antiqua"/>
        </w:rPr>
        <w:t>11</w:t>
      </w:r>
      <w:r>
        <w:rPr>
          <w:rFonts w:ascii="Book Antiqua" w:hAnsi="Book Antiqua"/>
        </w:rPr>
        <w:t xml:space="preserve"> </w:t>
      </w:r>
      <w:r w:rsidRPr="00115A30">
        <w:rPr>
          <w:rFonts w:ascii="Book Antiqua" w:hAnsi="Book Antiqua"/>
        </w:rPr>
        <w:t>foot</w:t>
      </w:r>
      <w:r>
        <w:rPr>
          <w:rFonts w:ascii="Book Antiqua" w:hAnsi="Book Antiqua"/>
        </w:rPr>
        <w:t xml:space="preserve"> </w:t>
      </w:r>
      <w:r w:rsidRPr="00115A30">
        <w:rPr>
          <w:rFonts w:ascii="Book Antiqua" w:hAnsi="Book Antiqua"/>
        </w:rPr>
        <w:t>8</w:t>
      </w:r>
      <w:r>
        <w:rPr>
          <w:rFonts w:ascii="Book Antiqua" w:hAnsi="Book Antiqua"/>
        </w:rPr>
        <w:t xml:space="preserve"> </w:t>
      </w:r>
      <w:r w:rsidRPr="00115A30">
        <w:rPr>
          <w:rFonts w:ascii="Book Antiqua" w:hAnsi="Book Antiqua"/>
        </w:rPr>
        <w:t>inches tall.</w:t>
      </w:r>
    </w:p>
    <w:p w14:paraId="6D77B245" w14:textId="77777777" w:rsidR="00823285" w:rsidRDefault="00823285" w:rsidP="00823285">
      <w:pPr>
        <w:spacing w:after="0" w:line="240" w:lineRule="auto"/>
        <w:ind w:right="180"/>
        <w:contextualSpacing/>
        <w:rPr>
          <w:rFonts w:ascii="Book Antiqua" w:hAnsi="Book Antiqua"/>
        </w:rPr>
      </w:pPr>
    </w:p>
    <w:p w14:paraId="23FEF73B" w14:textId="77777777" w:rsidR="00823285" w:rsidRDefault="00823285" w:rsidP="00823285">
      <w:pPr>
        <w:spacing w:after="0" w:line="240" w:lineRule="auto"/>
        <w:ind w:right="360"/>
        <w:contextualSpacing/>
        <w:rPr>
          <w:rFonts w:ascii="Book Antiqua" w:hAnsi="Book Antiqua"/>
        </w:rPr>
      </w:pPr>
      <w:r>
        <w:rPr>
          <w:rFonts w:ascii="Book Antiqua" w:hAnsi="Book Antiqua"/>
        </w:rPr>
        <w:t>“</w:t>
      </w:r>
      <w:r w:rsidRPr="00115A30">
        <w:rPr>
          <w:rFonts w:ascii="Book Antiqua" w:hAnsi="Book Antiqua"/>
        </w:rPr>
        <w:t>Terra cotta transcends trends, whether featured in wall panel system, a fenestration framing element or as an architectural accent</w:t>
      </w:r>
      <w:r>
        <w:rPr>
          <w:rFonts w:ascii="Book Antiqua" w:hAnsi="Book Antiqua"/>
        </w:rPr>
        <w:t xml:space="preserve">,” </w:t>
      </w:r>
      <w:r w:rsidRPr="00115A30">
        <w:rPr>
          <w:rFonts w:ascii="Book Antiqua" w:hAnsi="Book Antiqua"/>
        </w:rPr>
        <w:t>said Tammy Schroeder, director of marketing</w:t>
      </w:r>
      <w:r>
        <w:rPr>
          <w:rFonts w:ascii="Book Antiqua" w:hAnsi="Book Antiqua"/>
        </w:rPr>
        <w:t xml:space="preserve">. </w:t>
      </w:r>
      <w:r w:rsidRPr="00115A30">
        <w:rPr>
          <w:rFonts w:ascii="Book Antiqua" w:hAnsi="Book Antiqua"/>
        </w:rPr>
        <w:t>“</w:t>
      </w:r>
      <w:r>
        <w:rPr>
          <w:rFonts w:ascii="Book Antiqua" w:hAnsi="Book Antiqua"/>
        </w:rPr>
        <w:t xml:space="preserve">The Monument Drive project </w:t>
      </w:r>
      <w:r w:rsidRPr="00115A30">
        <w:rPr>
          <w:rFonts w:ascii="Book Antiqua" w:hAnsi="Book Antiqua"/>
        </w:rPr>
        <w:t>provides an excellent example of collaboration and creative application</w:t>
      </w:r>
      <w:r>
        <w:rPr>
          <w:rFonts w:ascii="Book Antiqua" w:hAnsi="Book Antiqua"/>
        </w:rPr>
        <w:t>.”</w:t>
      </w:r>
    </w:p>
    <w:p w14:paraId="075F5726" w14:textId="77777777" w:rsidR="00823285" w:rsidRDefault="00823285" w:rsidP="00823285">
      <w:pPr>
        <w:spacing w:after="0" w:line="240" w:lineRule="auto"/>
        <w:ind w:right="180"/>
        <w:contextualSpacing/>
        <w:rPr>
          <w:rFonts w:ascii="Book Antiqua" w:hAnsi="Book Antiqua"/>
        </w:rPr>
      </w:pPr>
    </w:p>
    <w:p w14:paraId="6F9EEF92" w14:textId="77777777" w:rsidR="00823285" w:rsidRDefault="00823285" w:rsidP="00823285">
      <w:pPr>
        <w:spacing w:after="0" w:line="240" w:lineRule="auto"/>
        <w:ind w:right="180"/>
        <w:contextualSpacing/>
        <w:rPr>
          <w:rFonts w:ascii="Book Antiqua" w:hAnsi="Book Antiqua"/>
        </w:rPr>
      </w:pPr>
      <w:r>
        <w:rPr>
          <w:rFonts w:ascii="Book Antiqua" w:hAnsi="Book Antiqua"/>
        </w:rPr>
        <w:t>She continued, “</w:t>
      </w:r>
      <w:r w:rsidRPr="00115A30">
        <w:rPr>
          <w:rFonts w:ascii="Book Antiqua" w:hAnsi="Book Antiqua"/>
        </w:rPr>
        <w:t xml:space="preserve">For more than a decade, Linetec has proudly served as EXTECH’s architectural aluminum finisher of choice. We appreciate EXTECH’s </w:t>
      </w:r>
      <w:r>
        <w:rPr>
          <w:rFonts w:ascii="Book Antiqua" w:hAnsi="Book Antiqua"/>
        </w:rPr>
        <w:t xml:space="preserve">continued </w:t>
      </w:r>
      <w:r w:rsidRPr="00115A30">
        <w:rPr>
          <w:rFonts w:ascii="Book Antiqua" w:hAnsi="Book Antiqua"/>
        </w:rPr>
        <w:t>interest in the new and unique finishing technologies that Linetec provides</w:t>
      </w:r>
      <w:r>
        <w:rPr>
          <w:rFonts w:ascii="Book Antiqua" w:hAnsi="Book Antiqua"/>
        </w:rPr>
        <w:t>.”</w:t>
      </w:r>
    </w:p>
    <w:p w14:paraId="3F5998AB" w14:textId="77777777" w:rsidR="00823285" w:rsidRPr="00115A30" w:rsidRDefault="00823285" w:rsidP="00823285">
      <w:pPr>
        <w:spacing w:after="0" w:line="240" w:lineRule="auto"/>
        <w:ind w:right="180"/>
        <w:contextualSpacing/>
        <w:rPr>
          <w:rFonts w:ascii="Book Antiqua" w:hAnsi="Book Antiqua"/>
        </w:rPr>
      </w:pPr>
    </w:p>
    <w:p w14:paraId="6B42AFDC" w14:textId="77777777" w:rsidR="00823285" w:rsidRPr="00A1360B" w:rsidRDefault="00823285" w:rsidP="00823285">
      <w:pPr>
        <w:spacing w:after="0" w:line="240" w:lineRule="auto"/>
        <w:ind w:right="180"/>
        <w:contextualSpacing/>
        <w:rPr>
          <w:rFonts w:ascii="Book Antiqua" w:hAnsi="Book Antiqua"/>
        </w:rPr>
      </w:pPr>
      <w:r w:rsidRPr="00A1360B">
        <w:rPr>
          <w:rFonts w:ascii="Book Antiqua" w:hAnsi="Book Antiqua"/>
        </w:rPr>
        <w:t xml:space="preserve">As a single source solution for architectural finishing, Linetec provides architectural aluminum product manufacturers with a choice of </w:t>
      </w:r>
      <w:r w:rsidRPr="00A1360B">
        <w:rPr>
          <w:rFonts w:ascii="Book Antiqua" w:hAnsi="Book Antiqua" w:cs="Calibri"/>
        </w:rPr>
        <w:t>paint coatings, anodize and specialty finishe</w:t>
      </w:r>
      <w:r w:rsidRPr="00A1360B">
        <w:rPr>
          <w:rFonts w:ascii="Book Antiqua" w:hAnsi="Book Antiqua"/>
        </w:rPr>
        <w:t>s, plus value-added services. Its textured terra cotta specialty coatings for aluminum provide the desired, natural clay-colored appearance and stone-like texture with the advantages of metal and fluoropolymer (PVDF) coatings.</w:t>
      </w:r>
      <w:r>
        <w:rPr>
          <w:rFonts w:ascii="Book Antiqua" w:hAnsi="Book Antiqua"/>
        </w:rPr>
        <w:t xml:space="preserve"> </w:t>
      </w:r>
      <w:r w:rsidRPr="00A1360B">
        <w:rPr>
          <w:rFonts w:ascii="Book Antiqua" w:hAnsi="Book Antiqua"/>
        </w:rPr>
        <w:t xml:space="preserve">Compared with actual terra cotta, finished aluminum offers an economical choice that can be delivered in a short lead time, is lighter weight for a faster installation, and </w:t>
      </w:r>
      <w:r>
        <w:rPr>
          <w:rFonts w:ascii="Book Antiqua" w:hAnsi="Book Antiqua"/>
        </w:rPr>
        <w:t xml:space="preserve">can </w:t>
      </w:r>
      <w:r w:rsidRPr="00A1360B">
        <w:rPr>
          <w:rFonts w:ascii="Book Antiqua" w:hAnsi="Book Antiqua"/>
        </w:rPr>
        <w:t>be easily formed in a large variety of shapes and sizes, and a broader choice of colors.</w:t>
      </w:r>
    </w:p>
    <w:p w14:paraId="78617FA8" w14:textId="77777777" w:rsidR="00823285" w:rsidRPr="00A1360B" w:rsidRDefault="00823285" w:rsidP="00823285">
      <w:pPr>
        <w:spacing w:after="0" w:line="240" w:lineRule="auto"/>
        <w:ind w:right="180"/>
        <w:contextualSpacing/>
        <w:rPr>
          <w:rFonts w:ascii="Book Antiqua" w:hAnsi="Book Antiqua"/>
        </w:rPr>
      </w:pPr>
    </w:p>
    <w:p w14:paraId="4F6B503C" w14:textId="0F9E1CD2" w:rsidR="00823285" w:rsidRPr="00115A30" w:rsidRDefault="00823285" w:rsidP="00823285">
      <w:pPr>
        <w:spacing w:after="0" w:line="240" w:lineRule="auto"/>
        <w:ind w:right="180"/>
        <w:contextualSpacing/>
        <w:rPr>
          <w:rFonts w:ascii="Book Antiqua" w:hAnsi="Book Antiqua"/>
        </w:rPr>
      </w:pPr>
      <w:r>
        <w:rPr>
          <w:rFonts w:ascii="Book Antiqua" w:hAnsi="Book Antiqua"/>
        </w:rPr>
        <w:t>On the Monument Drive project, the aluminum</w:t>
      </w:r>
      <w:r w:rsidRPr="00115A30">
        <w:rPr>
          <w:rFonts w:ascii="Book Antiqua" w:hAnsi="Book Antiqua"/>
        </w:rPr>
        <w:t xml:space="preserve"> extrusion profiles were made to match the three </w:t>
      </w:r>
      <w:r>
        <w:rPr>
          <w:rFonts w:ascii="Book Antiqua" w:hAnsi="Book Antiqua"/>
        </w:rPr>
        <w:t xml:space="preserve">“baguette” </w:t>
      </w:r>
      <w:r w:rsidRPr="00115A30">
        <w:rPr>
          <w:rFonts w:ascii="Book Antiqua" w:hAnsi="Book Antiqua"/>
        </w:rPr>
        <w:t xml:space="preserve">terra cotta profiles </w:t>
      </w:r>
      <w:r>
        <w:rPr>
          <w:rFonts w:ascii="Book Antiqua" w:hAnsi="Book Antiqua"/>
        </w:rPr>
        <w:t xml:space="preserve">designed by HGA’s </w:t>
      </w:r>
      <w:r w:rsidRPr="00115A30">
        <w:rPr>
          <w:rFonts w:ascii="Book Antiqua" w:hAnsi="Book Antiqua"/>
        </w:rPr>
        <w:t>architect</w:t>
      </w:r>
      <w:r>
        <w:rPr>
          <w:rFonts w:ascii="Book Antiqua" w:hAnsi="Book Antiqua"/>
        </w:rPr>
        <w:t>s. EXTECH</w:t>
      </w:r>
      <w:r w:rsidRPr="00115A30">
        <w:rPr>
          <w:rFonts w:ascii="Book Antiqua" w:hAnsi="Book Antiqua"/>
        </w:rPr>
        <w:t xml:space="preserve"> engineered </w:t>
      </w:r>
      <w:r>
        <w:rPr>
          <w:rFonts w:ascii="Book Antiqua" w:hAnsi="Book Antiqua"/>
        </w:rPr>
        <w:t xml:space="preserve">its </w:t>
      </w:r>
      <w:r w:rsidRPr="00115A30">
        <w:rPr>
          <w:rFonts w:ascii="Book Antiqua" w:hAnsi="Book Antiqua"/>
        </w:rPr>
        <w:t>system to accommodate garage structure differential deflections and cladding system thermal movement by incorporating a unique sliding clip into the extrusions.</w:t>
      </w:r>
    </w:p>
    <w:p w14:paraId="6CA6B202" w14:textId="77777777" w:rsidR="00823285" w:rsidRDefault="00823285" w:rsidP="00823285">
      <w:pPr>
        <w:spacing w:after="0" w:line="240" w:lineRule="auto"/>
        <w:ind w:right="180"/>
        <w:contextualSpacing/>
        <w:jc w:val="center"/>
        <w:rPr>
          <w:rFonts w:ascii="Book Antiqua" w:hAnsi="Book Antiqua"/>
          <w:i/>
          <w:iCs/>
          <w:sz w:val="18"/>
          <w:szCs w:val="18"/>
        </w:rPr>
      </w:pPr>
    </w:p>
    <w:p w14:paraId="62F1DF8B" w14:textId="3FC466C0" w:rsidR="00823285" w:rsidRPr="00823285" w:rsidRDefault="00823285" w:rsidP="00823285">
      <w:pPr>
        <w:spacing w:after="0" w:line="240" w:lineRule="auto"/>
        <w:ind w:right="180"/>
        <w:contextualSpacing/>
        <w:jc w:val="center"/>
        <w:rPr>
          <w:rFonts w:ascii="Book Antiqua" w:hAnsi="Book Antiqua"/>
          <w:i/>
          <w:iCs/>
          <w:sz w:val="18"/>
          <w:szCs w:val="18"/>
        </w:rPr>
      </w:pPr>
      <w:r w:rsidRPr="00823285">
        <w:rPr>
          <w:rFonts w:ascii="Book Antiqua" w:hAnsi="Book Antiqua"/>
          <w:i/>
          <w:iCs/>
          <w:sz w:val="18"/>
          <w:szCs w:val="18"/>
        </w:rPr>
        <w:t>(more)</w:t>
      </w:r>
    </w:p>
    <w:p w14:paraId="427CF921" w14:textId="77777777" w:rsidR="00823285" w:rsidRDefault="00823285" w:rsidP="00823285">
      <w:pPr>
        <w:spacing w:after="0" w:line="240" w:lineRule="auto"/>
        <w:ind w:right="180"/>
        <w:contextualSpacing/>
        <w:rPr>
          <w:rFonts w:ascii="Book Antiqua" w:hAnsi="Book Antiqua"/>
        </w:rPr>
      </w:pPr>
    </w:p>
    <w:p w14:paraId="52FEFF18" w14:textId="77777777" w:rsidR="00823285" w:rsidRDefault="00823285" w:rsidP="00823285">
      <w:pPr>
        <w:spacing w:after="0" w:line="240" w:lineRule="auto"/>
        <w:ind w:right="180"/>
        <w:contextualSpacing/>
        <w:rPr>
          <w:rFonts w:ascii="Book Antiqua" w:hAnsi="Book Antiqua"/>
        </w:rPr>
      </w:pPr>
    </w:p>
    <w:p w14:paraId="7419B7DA" w14:textId="4F6E3BF5" w:rsidR="00823285" w:rsidRPr="00644F53" w:rsidRDefault="00823285" w:rsidP="00823285">
      <w:pPr>
        <w:spacing w:after="0" w:line="240" w:lineRule="auto"/>
        <w:ind w:right="180"/>
        <w:contextualSpacing/>
        <w:rPr>
          <w:rFonts w:ascii="Book Antiqua" w:hAnsi="Book Antiqua"/>
        </w:rPr>
      </w:pPr>
      <w:r w:rsidRPr="00644F53">
        <w:rPr>
          <w:rFonts w:ascii="Book Antiqua" w:hAnsi="Book Antiqua"/>
        </w:rPr>
        <w:t>Linetec textured terra cotta specialty coatings meet the industry’s most stringent performance specification standard, AAMA 2605, “Voluntary Specification, Performance Requirements and Test Procedures for Superior Performing Organic Coatings on Aluminum Extrusions and Panels,” published by the Fenestration and Glazing Industry Alliance. These durable, fluoropolymer painted finishes are formulated with a 70% PVDF resin-based coating system to achieve the highest performance levels in exterior environments.</w:t>
      </w:r>
    </w:p>
    <w:p w14:paraId="19AF16AA" w14:textId="77777777" w:rsidR="00823285" w:rsidRPr="00644F53" w:rsidRDefault="00823285" w:rsidP="00823285">
      <w:pPr>
        <w:spacing w:after="0" w:line="240" w:lineRule="auto"/>
        <w:ind w:right="180"/>
        <w:contextualSpacing/>
        <w:rPr>
          <w:rFonts w:ascii="Book Antiqua" w:hAnsi="Book Antiqua"/>
        </w:rPr>
      </w:pPr>
    </w:p>
    <w:p w14:paraId="6D0543F5" w14:textId="77777777" w:rsidR="00823285" w:rsidRPr="00644F53" w:rsidRDefault="00823285" w:rsidP="00823285">
      <w:pPr>
        <w:spacing w:after="0" w:line="240" w:lineRule="auto"/>
        <w:ind w:right="180"/>
        <w:contextualSpacing/>
        <w:rPr>
          <w:rFonts w:ascii="Book Antiqua" w:hAnsi="Book Antiqua"/>
        </w:rPr>
      </w:pPr>
      <w:r w:rsidRPr="00644F53">
        <w:rPr>
          <w:rFonts w:ascii="Book Antiqua" w:hAnsi="Book Antiqua"/>
        </w:rPr>
        <w:t xml:space="preserve">For EXTECH’s aluminum material on Monument Drive Commuter Parking Garage and Transit Center, Linetec used PPG </w:t>
      </w:r>
      <w:proofErr w:type="spellStart"/>
      <w:r w:rsidRPr="00644F53">
        <w:rPr>
          <w:rFonts w:ascii="Book Antiqua" w:hAnsi="Book Antiqua"/>
        </w:rPr>
        <w:t>Duranar</w:t>
      </w:r>
      <w:proofErr w:type="spellEnd"/>
      <w:r w:rsidRPr="00644F53">
        <w:rPr>
          <w:rFonts w:ascii="Book Antiqua" w:hAnsi="Book Antiqua"/>
          <w:vertAlign w:val="superscript"/>
        </w:rPr>
        <w:t>®</w:t>
      </w:r>
      <w:r w:rsidRPr="00644F53">
        <w:rPr>
          <w:rFonts w:ascii="Book Antiqua" w:hAnsi="Book Antiqua"/>
        </w:rPr>
        <w:t xml:space="preserve"> 70% PVDF resin-based coating system with a texture additive. Architectural coatings with 70% PVDF resin that meet AAMA 2605 specifications exhibit outstanding resistance to color fade and change, chalking, gloss loss, humidity, salt spray and chemicals, and ensure a long-lasting, durable finish. These performance attributes are key to high-traffic transit facilities seeking to maintain their desired appearance and a long lifecycle.</w:t>
      </w:r>
    </w:p>
    <w:p w14:paraId="7E0D03CA" w14:textId="77777777" w:rsidR="00823285" w:rsidRDefault="00823285" w:rsidP="00823285">
      <w:pPr>
        <w:spacing w:after="0" w:line="240" w:lineRule="auto"/>
        <w:ind w:right="180"/>
        <w:contextualSpacing/>
        <w:rPr>
          <w:rFonts w:ascii="Book Antiqua" w:hAnsi="Book Antiqua"/>
        </w:rPr>
      </w:pPr>
    </w:p>
    <w:p w14:paraId="54574AE7" w14:textId="77777777" w:rsidR="00823285" w:rsidRDefault="00823285" w:rsidP="00823285">
      <w:pPr>
        <w:spacing w:after="0" w:line="240" w:lineRule="auto"/>
        <w:ind w:right="180"/>
        <w:contextualSpacing/>
        <w:rPr>
          <w:rFonts w:ascii="Book Antiqua" w:hAnsi="Book Antiqua"/>
        </w:rPr>
      </w:pPr>
      <w:r>
        <w:rPr>
          <w:rFonts w:ascii="Book Antiqua" w:hAnsi="Book Antiqua"/>
        </w:rPr>
        <w:t xml:space="preserve">Finished aluminum is </w:t>
      </w:r>
      <w:r w:rsidRPr="00644F53">
        <w:rPr>
          <w:rFonts w:ascii="Book Antiqua" w:hAnsi="Book Antiqua"/>
        </w:rPr>
        <w:t>more readily availabl</w:t>
      </w:r>
      <w:r>
        <w:rPr>
          <w:rFonts w:ascii="Book Antiqua" w:hAnsi="Book Antiqua"/>
        </w:rPr>
        <w:t xml:space="preserve">e, </w:t>
      </w:r>
      <w:r w:rsidRPr="00644F53">
        <w:rPr>
          <w:rFonts w:ascii="Book Antiqua" w:hAnsi="Book Antiqua"/>
        </w:rPr>
        <w:t>less fragile and more resilient than actual terra cotta during shipping, handling and installing. Additionally, finished aluminum is a lighter weight material than actual terra cotta, allowing for faster installation. EXTECH’s panelized system helps save additional time and costs, while accommodating each project’s unique specification requirements.</w:t>
      </w:r>
    </w:p>
    <w:p w14:paraId="33E156C3" w14:textId="77777777" w:rsidR="00823285" w:rsidRDefault="00823285" w:rsidP="00823285">
      <w:pPr>
        <w:spacing w:after="0" w:line="240" w:lineRule="auto"/>
        <w:ind w:right="180"/>
        <w:contextualSpacing/>
        <w:rPr>
          <w:rFonts w:ascii="Book Antiqua" w:hAnsi="Book Antiqua"/>
        </w:rPr>
      </w:pPr>
    </w:p>
    <w:p w14:paraId="66CA3E52" w14:textId="77777777" w:rsidR="00823285" w:rsidRPr="00644F53" w:rsidRDefault="00823285" w:rsidP="00823285">
      <w:pPr>
        <w:spacing w:after="0" w:line="240" w:lineRule="auto"/>
        <w:ind w:right="180"/>
        <w:contextualSpacing/>
        <w:rPr>
          <w:rFonts w:ascii="Book Antiqua" w:hAnsi="Book Antiqua"/>
        </w:rPr>
      </w:pPr>
      <w:r w:rsidRPr="00644F53">
        <w:rPr>
          <w:rFonts w:ascii="Book Antiqua" w:hAnsi="Book Antiqua"/>
        </w:rPr>
        <w:t>As an environmentally responsible finisher, Linetec uses a 100% air capture system and a regenerative thermal oxidizer to safely contain and eliminate volatile organic compounds (VOCs) associated with solvents in liquid paint. This process is carefully managed in the Linetec facility. This prevents adverse environmental impact and alleviates concerns about VOCs at the jobsite and after the finished material is installed on the building.</w:t>
      </w:r>
    </w:p>
    <w:p w14:paraId="77C5B491" w14:textId="77777777" w:rsidR="00823285" w:rsidRDefault="00823285" w:rsidP="00823285">
      <w:pPr>
        <w:spacing w:after="0" w:line="240" w:lineRule="auto"/>
        <w:ind w:right="180"/>
        <w:contextualSpacing/>
        <w:rPr>
          <w:rFonts w:ascii="Book Antiqua" w:hAnsi="Book Antiqua"/>
        </w:rPr>
      </w:pPr>
    </w:p>
    <w:p w14:paraId="76AD0447" w14:textId="77777777" w:rsidR="00823285" w:rsidRDefault="00823285" w:rsidP="00823285">
      <w:pPr>
        <w:spacing w:after="0" w:line="240" w:lineRule="auto"/>
        <w:ind w:right="180"/>
        <w:contextualSpacing/>
        <w:rPr>
          <w:rFonts w:ascii="Book Antiqua" w:hAnsi="Book Antiqua"/>
        </w:rPr>
      </w:pPr>
      <w:r>
        <w:rPr>
          <w:rFonts w:ascii="Book Antiqua" w:hAnsi="Book Antiqua"/>
        </w:rPr>
        <w:t>Working closely with g</w:t>
      </w:r>
      <w:r w:rsidRPr="00115A30">
        <w:rPr>
          <w:rFonts w:ascii="Book Antiqua" w:hAnsi="Book Antiqua"/>
        </w:rPr>
        <w:t>eneral contractor Howard Shockey &amp; Sons</w:t>
      </w:r>
      <w:r>
        <w:rPr>
          <w:rFonts w:ascii="Book Antiqua" w:hAnsi="Book Antiqua"/>
        </w:rPr>
        <w:t xml:space="preserve">, </w:t>
      </w:r>
      <w:r w:rsidRPr="00115A30">
        <w:rPr>
          <w:rFonts w:ascii="Book Antiqua" w:hAnsi="Book Antiqua"/>
        </w:rPr>
        <w:t xml:space="preserve">Modern Door &amp; Equipment Sales installed </w:t>
      </w:r>
      <w:r>
        <w:rPr>
          <w:rFonts w:ascii="Book Antiqua" w:hAnsi="Book Antiqua"/>
        </w:rPr>
        <w:t xml:space="preserve">EXTECH’s systems throughout the parking garage and transit center. </w:t>
      </w:r>
      <w:r w:rsidRPr="00115A30">
        <w:rPr>
          <w:rFonts w:ascii="Book Antiqua" w:hAnsi="Book Antiqua"/>
        </w:rPr>
        <w:t>Fairfax County manag</w:t>
      </w:r>
      <w:r>
        <w:rPr>
          <w:rFonts w:ascii="Book Antiqua" w:hAnsi="Book Antiqua"/>
        </w:rPr>
        <w:t>ed</w:t>
      </w:r>
      <w:r w:rsidRPr="00115A30">
        <w:rPr>
          <w:rFonts w:ascii="Book Antiqua" w:hAnsi="Book Antiqua"/>
        </w:rPr>
        <w:t xml:space="preserve"> construction of the facility</w:t>
      </w:r>
      <w:r>
        <w:rPr>
          <w:rFonts w:ascii="Book Antiqua" w:hAnsi="Book Antiqua"/>
        </w:rPr>
        <w:t xml:space="preserve"> from its groundbreaking in November 2021 to its completion in late 2023. </w:t>
      </w:r>
      <w:r w:rsidRPr="003A0C26">
        <w:rPr>
          <w:rFonts w:ascii="Book Antiqua" w:hAnsi="Book Antiqua"/>
        </w:rPr>
        <w:t xml:space="preserve">Funding </w:t>
      </w:r>
      <w:r>
        <w:rPr>
          <w:rFonts w:ascii="Book Antiqua" w:hAnsi="Book Antiqua"/>
        </w:rPr>
        <w:t>was</w:t>
      </w:r>
      <w:r w:rsidRPr="003A0C26">
        <w:rPr>
          <w:rFonts w:ascii="Book Antiqua" w:hAnsi="Book Antiqua"/>
        </w:rPr>
        <w:t xml:space="preserve"> provided </w:t>
      </w:r>
      <w:r>
        <w:rPr>
          <w:rFonts w:ascii="Book Antiqua" w:hAnsi="Book Antiqua"/>
        </w:rPr>
        <w:t xml:space="preserve">in part </w:t>
      </w:r>
      <w:r w:rsidRPr="003A0C26">
        <w:rPr>
          <w:rFonts w:ascii="Book Antiqua" w:hAnsi="Book Antiqua"/>
        </w:rPr>
        <w:t>by the V</w:t>
      </w:r>
      <w:r>
        <w:rPr>
          <w:rFonts w:ascii="Book Antiqua" w:hAnsi="Book Antiqua"/>
        </w:rPr>
        <w:t xml:space="preserve">irginia </w:t>
      </w:r>
      <w:r w:rsidRPr="003A0C26">
        <w:rPr>
          <w:rFonts w:ascii="Book Antiqua" w:hAnsi="Book Antiqua"/>
        </w:rPr>
        <w:t>D</w:t>
      </w:r>
      <w:r>
        <w:rPr>
          <w:rFonts w:ascii="Book Antiqua" w:hAnsi="Book Antiqua"/>
        </w:rPr>
        <w:t xml:space="preserve">epartment of </w:t>
      </w:r>
      <w:r w:rsidRPr="003A0C26">
        <w:rPr>
          <w:rFonts w:ascii="Book Antiqua" w:hAnsi="Book Antiqua"/>
        </w:rPr>
        <w:t>T</w:t>
      </w:r>
      <w:r>
        <w:rPr>
          <w:rFonts w:ascii="Book Antiqua" w:hAnsi="Book Antiqua"/>
        </w:rPr>
        <w:t>ransportation</w:t>
      </w:r>
      <w:r w:rsidRPr="003A0C26">
        <w:rPr>
          <w:rFonts w:ascii="Book Antiqua" w:hAnsi="Book Antiqua"/>
        </w:rPr>
        <w:t xml:space="preserve"> </w:t>
      </w:r>
      <w:r>
        <w:rPr>
          <w:rFonts w:ascii="Book Antiqua" w:hAnsi="Book Antiqua"/>
        </w:rPr>
        <w:t>“</w:t>
      </w:r>
      <w:r w:rsidRPr="00115A30">
        <w:rPr>
          <w:rFonts w:ascii="Book Antiqua" w:hAnsi="Book Antiqua"/>
        </w:rPr>
        <w:t>Transform 66</w:t>
      </w:r>
      <w:r>
        <w:rPr>
          <w:rFonts w:ascii="Book Antiqua" w:hAnsi="Book Antiqua"/>
        </w:rPr>
        <w:t>”</w:t>
      </w:r>
      <w:r w:rsidRPr="00115A30">
        <w:rPr>
          <w:rFonts w:ascii="Book Antiqua" w:hAnsi="Book Antiqua"/>
        </w:rPr>
        <w:t xml:space="preserve"> concession project.</w:t>
      </w:r>
    </w:p>
    <w:p w14:paraId="6689FD52" w14:textId="77777777" w:rsidR="00823285" w:rsidRDefault="00823285" w:rsidP="00823285">
      <w:pPr>
        <w:spacing w:after="0" w:line="240" w:lineRule="auto"/>
        <w:ind w:right="180"/>
        <w:contextualSpacing/>
        <w:rPr>
          <w:rFonts w:ascii="Book Antiqua" w:hAnsi="Book Antiqua"/>
        </w:rPr>
      </w:pPr>
    </w:p>
    <w:p w14:paraId="56C8116C" w14:textId="77777777" w:rsidR="00823285" w:rsidRPr="00115A30" w:rsidRDefault="00823285" w:rsidP="00823285">
      <w:pPr>
        <w:spacing w:after="0" w:line="240" w:lineRule="auto"/>
        <w:ind w:right="180"/>
        <w:contextualSpacing/>
        <w:rPr>
          <w:rFonts w:ascii="Book Antiqua" w:hAnsi="Book Antiqua"/>
        </w:rPr>
      </w:pPr>
      <w:r w:rsidRPr="00115A30">
        <w:rPr>
          <w:rFonts w:ascii="Book Antiqua" w:hAnsi="Book Antiqua"/>
        </w:rPr>
        <w:t xml:space="preserve">Located at the intersection of Government Center Parkway and Monument Drive, </w:t>
      </w:r>
      <w:r>
        <w:rPr>
          <w:rFonts w:ascii="Book Antiqua" w:hAnsi="Book Antiqua"/>
        </w:rPr>
        <w:t>the new commuter parking garage and transit center</w:t>
      </w:r>
      <w:r w:rsidRPr="00115A30">
        <w:rPr>
          <w:rFonts w:ascii="Book Antiqua" w:hAnsi="Book Antiqua"/>
        </w:rPr>
        <w:t xml:space="preserve"> is adjacent to the </w:t>
      </w:r>
      <w:r w:rsidRPr="003A0C26">
        <w:rPr>
          <w:rFonts w:ascii="Book Antiqua" w:hAnsi="Book Antiqua"/>
        </w:rPr>
        <w:t>I-66</w:t>
      </w:r>
      <w:r>
        <w:rPr>
          <w:rFonts w:ascii="Book Antiqua" w:hAnsi="Book Antiqua"/>
        </w:rPr>
        <w:t xml:space="preserve"> </w:t>
      </w:r>
      <w:r w:rsidRPr="00115A30">
        <w:rPr>
          <w:rFonts w:ascii="Book Antiqua" w:hAnsi="Book Antiqua"/>
        </w:rPr>
        <w:t xml:space="preserve">express lanes ramps. </w:t>
      </w:r>
      <w:r>
        <w:rPr>
          <w:rFonts w:ascii="Book Antiqua" w:hAnsi="Book Antiqua"/>
        </w:rPr>
        <w:t xml:space="preserve">The facility offers </w:t>
      </w:r>
      <w:r w:rsidRPr="00115A30">
        <w:rPr>
          <w:rFonts w:ascii="Book Antiqua" w:hAnsi="Book Antiqua"/>
        </w:rPr>
        <w:t xml:space="preserve">eight levels of structured parking, </w:t>
      </w:r>
      <w:r>
        <w:rPr>
          <w:rFonts w:ascii="Book Antiqua" w:hAnsi="Book Antiqua"/>
        </w:rPr>
        <w:t xml:space="preserve">a </w:t>
      </w:r>
      <w:r w:rsidRPr="00115A30">
        <w:rPr>
          <w:rFonts w:ascii="Book Antiqua" w:hAnsi="Book Antiqua"/>
        </w:rPr>
        <w:t xml:space="preserve">bus transit center, a short-term parking area for </w:t>
      </w:r>
      <w:r>
        <w:rPr>
          <w:rFonts w:ascii="Book Antiqua" w:hAnsi="Book Antiqua"/>
        </w:rPr>
        <w:t xml:space="preserve">rideshare </w:t>
      </w:r>
      <w:r w:rsidRPr="00115A30">
        <w:rPr>
          <w:rFonts w:ascii="Book Antiqua" w:hAnsi="Book Antiqua"/>
        </w:rPr>
        <w:t>pick</w:t>
      </w:r>
      <w:r>
        <w:rPr>
          <w:rFonts w:ascii="Book Antiqua" w:hAnsi="Book Antiqua"/>
        </w:rPr>
        <w:t>-</w:t>
      </w:r>
      <w:r w:rsidRPr="00115A30">
        <w:rPr>
          <w:rFonts w:ascii="Book Antiqua" w:hAnsi="Book Antiqua"/>
        </w:rPr>
        <w:t>up and drop</w:t>
      </w:r>
      <w:r>
        <w:rPr>
          <w:rFonts w:ascii="Book Antiqua" w:hAnsi="Book Antiqua"/>
        </w:rPr>
        <w:t>-</w:t>
      </w:r>
      <w:r w:rsidRPr="00115A30">
        <w:rPr>
          <w:rFonts w:ascii="Book Antiqua" w:hAnsi="Book Antiqua"/>
        </w:rPr>
        <w:t>off, commuter (slug) lanes, secure bicycle parking and storage, solar panels to reduce energy consumption and a partial green roof.</w:t>
      </w:r>
    </w:p>
    <w:p w14:paraId="545145E2" w14:textId="77777777" w:rsidR="00823285" w:rsidRDefault="00823285" w:rsidP="00823285">
      <w:pPr>
        <w:spacing w:after="0" w:line="240" w:lineRule="auto"/>
        <w:ind w:right="180"/>
        <w:contextualSpacing/>
        <w:rPr>
          <w:rFonts w:ascii="Book Antiqua" w:hAnsi="Book Antiqua"/>
        </w:rPr>
      </w:pPr>
    </w:p>
    <w:p w14:paraId="4CF2CD49" w14:textId="77777777" w:rsidR="00823285" w:rsidRPr="00823285" w:rsidRDefault="00823285" w:rsidP="00823285">
      <w:pPr>
        <w:spacing w:after="0" w:line="240" w:lineRule="auto"/>
        <w:ind w:right="180"/>
        <w:contextualSpacing/>
        <w:jc w:val="center"/>
        <w:rPr>
          <w:rFonts w:ascii="Book Antiqua" w:hAnsi="Book Antiqua"/>
          <w:sz w:val="18"/>
          <w:szCs w:val="18"/>
        </w:rPr>
      </w:pPr>
      <w:r w:rsidRPr="00823285">
        <w:rPr>
          <w:rFonts w:ascii="Book Antiqua" w:hAnsi="Book Antiqua"/>
          <w:sz w:val="18"/>
          <w:szCs w:val="18"/>
        </w:rPr>
        <w:t>**</w:t>
      </w:r>
    </w:p>
    <w:p w14:paraId="19BA4FB9" w14:textId="77777777" w:rsidR="00823285" w:rsidRPr="00823285" w:rsidRDefault="00823285" w:rsidP="00823285">
      <w:pPr>
        <w:spacing w:after="0" w:line="240" w:lineRule="auto"/>
        <w:ind w:right="180"/>
        <w:contextualSpacing/>
        <w:rPr>
          <w:rFonts w:ascii="Book Antiqua" w:hAnsi="Book Antiqua"/>
          <w:sz w:val="18"/>
          <w:szCs w:val="18"/>
        </w:rPr>
      </w:pPr>
    </w:p>
    <w:p w14:paraId="14DE68C4" w14:textId="77777777" w:rsidR="00823285" w:rsidRDefault="00823285" w:rsidP="00823285">
      <w:pPr>
        <w:spacing w:after="0" w:line="240" w:lineRule="auto"/>
        <w:ind w:right="180"/>
        <w:contextualSpacing/>
        <w:rPr>
          <w:rFonts w:ascii="Book Antiqua" w:hAnsi="Book Antiqua"/>
          <w:b/>
          <w:bCs/>
          <w:i/>
          <w:iCs/>
          <w:sz w:val="18"/>
          <w:szCs w:val="18"/>
        </w:rPr>
      </w:pPr>
    </w:p>
    <w:p w14:paraId="646C436D" w14:textId="77777777" w:rsidR="00823285" w:rsidRDefault="00823285" w:rsidP="00823285">
      <w:pPr>
        <w:spacing w:after="0" w:line="240" w:lineRule="auto"/>
        <w:ind w:right="180"/>
        <w:contextualSpacing/>
        <w:rPr>
          <w:rFonts w:ascii="Book Antiqua" w:hAnsi="Book Antiqua"/>
          <w:b/>
          <w:bCs/>
          <w:i/>
          <w:iCs/>
          <w:sz w:val="18"/>
          <w:szCs w:val="18"/>
        </w:rPr>
      </w:pPr>
    </w:p>
    <w:p w14:paraId="0F820D55" w14:textId="77777777" w:rsidR="00823285" w:rsidRDefault="00823285" w:rsidP="00823285">
      <w:pPr>
        <w:spacing w:after="0" w:line="240" w:lineRule="auto"/>
        <w:ind w:right="180"/>
        <w:contextualSpacing/>
        <w:rPr>
          <w:rFonts w:ascii="Book Antiqua" w:hAnsi="Book Antiqua"/>
          <w:b/>
          <w:bCs/>
          <w:i/>
          <w:iCs/>
          <w:sz w:val="18"/>
          <w:szCs w:val="18"/>
        </w:rPr>
      </w:pPr>
      <w:r w:rsidRPr="00823285">
        <w:rPr>
          <w:rFonts w:ascii="Book Antiqua" w:hAnsi="Book Antiqua"/>
          <w:b/>
          <w:bCs/>
          <w:i/>
          <w:iCs/>
          <w:sz w:val="18"/>
          <w:szCs w:val="18"/>
        </w:rPr>
        <w:t xml:space="preserve">Monument Drive Commuter Parking Garage and Transit Center, </w:t>
      </w:r>
    </w:p>
    <w:p w14:paraId="1B913CC2" w14:textId="28639619" w:rsidR="00823285" w:rsidRPr="00823285" w:rsidRDefault="00823285" w:rsidP="00823285">
      <w:pPr>
        <w:spacing w:after="0" w:line="240" w:lineRule="auto"/>
        <w:ind w:right="180"/>
        <w:contextualSpacing/>
        <w:rPr>
          <w:rFonts w:ascii="Book Antiqua" w:hAnsi="Book Antiqua"/>
          <w:b/>
          <w:bCs/>
          <w:i/>
          <w:iCs/>
          <w:sz w:val="18"/>
          <w:szCs w:val="18"/>
        </w:rPr>
      </w:pPr>
      <w:r w:rsidRPr="00823285">
        <w:rPr>
          <w:rFonts w:ascii="Book Antiqua" w:hAnsi="Book Antiqua"/>
          <w:b/>
          <w:bCs/>
          <w:i/>
          <w:iCs/>
          <w:sz w:val="18"/>
          <w:szCs w:val="18"/>
        </w:rPr>
        <w:t>12113 Government Center Pkwy, Fairfax, VA 2203</w:t>
      </w:r>
    </w:p>
    <w:p w14:paraId="2DD49C12"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Owner: Fairfax County; Fairfax, Virginia; https://www.fairfaxcounty.gov</w:t>
      </w:r>
    </w:p>
    <w:p w14:paraId="50741DDA"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Architect: HGA; Alexandria, Virginia; https://hga.com</w:t>
      </w:r>
    </w:p>
    <w:p w14:paraId="11AA20B2"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General contractor: Howard Shockey &amp; Sons, Inc.; Winchester, Virginia; https://shockeybuilds.com</w:t>
      </w:r>
    </w:p>
    <w:p w14:paraId="46B500BD"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Tube wall system – manufacturer and engineer: EXTECH/Exterior Technologies, Inc.; Pittsburgh; https://www.extechinc.com</w:t>
      </w:r>
    </w:p>
    <w:p w14:paraId="28EA35B8"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Tube wall system – installing contractor: Modern Door &amp; Equipment Sales, Inc.; White Plains, Maryland; https://www.moderndoor.com</w:t>
      </w:r>
    </w:p>
    <w:p w14:paraId="3C1B8C44"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Tube wall system – coating manufacturer: PPG Industries, Inc.; Pittsburgh; https://www.ppgindustrialcoatings.com</w:t>
      </w:r>
    </w:p>
    <w:p w14:paraId="07E0DDEE"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Tube wall system – finishing services provider: Linetec; Wausau, Wisconsin; https://linetec.com</w:t>
      </w:r>
    </w:p>
    <w:p w14:paraId="58AEA30A"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sz w:val="18"/>
          <w:szCs w:val="18"/>
        </w:rPr>
        <w:t>Photographer: ©</w:t>
      </w:r>
      <w:r w:rsidRPr="00823285">
        <w:rPr>
          <w:rFonts w:ascii="Book Antiqua" w:hAnsi="Book Antiqua" w:cs="Calibri"/>
          <w:color w:val="000000"/>
          <w:sz w:val="18"/>
          <w:szCs w:val="18"/>
        </w:rPr>
        <w:t xml:space="preserve">Kate </w:t>
      </w:r>
      <w:proofErr w:type="spellStart"/>
      <w:r w:rsidRPr="00823285">
        <w:rPr>
          <w:rFonts w:ascii="Book Antiqua" w:hAnsi="Book Antiqua" w:cs="Calibri"/>
          <w:color w:val="000000"/>
          <w:sz w:val="18"/>
          <w:szCs w:val="18"/>
        </w:rPr>
        <w:t>Wichlinski</w:t>
      </w:r>
      <w:proofErr w:type="spellEnd"/>
    </w:p>
    <w:p w14:paraId="3EB19D96" w14:textId="77777777" w:rsidR="00823285" w:rsidRPr="00823285" w:rsidRDefault="00823285" w:rsidP="00823285">
      <w:pPr>
        <w:pStyle w:val="ListParagraph"/>
        <w:numPr>
          <w:ilvl w:val="0"/>
          <w:numId w:val="6"/>
        </w:numPr>
        <w:ind w:right="180"/>
        <w:rPr>
          <w:rFonts w:ascii="Book Antiqua" w:hAnsi="Book Antiqua"/>
          <w:sz w:val="18"/>
          <w:szCs w:val="18"/>
        </w:rPr>
      </w:pPr>
      <w:r w:rsidRPr="00823285">
        <w:rPr>
          <w:rFonts w:ascii="Book Antiqua" w:hAnsi="Book Antiqua" w:cs="Calibri"/>
          <w:color w:val="000000"/>
          <w:sz w:val="18"/>
          <w:szCs w:val="18"/>
        </w:rPr>
        <w:t>Additional images: courtesy of EXTECH</w:t>
      </w:r>
    </w:p>
    <w:p w14:paraId="3EF74CFF" w14:textId="77777777" w:rsidR="00823285" w:rsidRPr="00823285" w:rsidRDefault="00823285" w:rsidP="00823285">
      <w:pPr>
        <w:spacing w:after="0" w:line="240" w:lineRule="auto"/>
        <w:ind w:right="180"/>
        <w:contextualSpacing/>
        <w:rPr>
          <w:rFonts w:ascii="Book Antiqua" w:hAnsi="Book Antiqua"/>
          <w:sz w:val="18"/>
          <w:szCs w:val="18"/>
        </w:rPr>
      </w:pPr>
    </w:p>
    <w:p w14:paraId="3051B3BF" w14:textId="77777777" w:rsidR="00823285" w:rsidRPr="00823285" w:rsidRDefault="00823285" w:rsidP="00823285">
      <w:pPr>
        <w:spacing w:after="0" w:line="240" w:lineRule="auto"/>
        <w:ind w:right="180"/>
        <w:contextualSpacing/>
        <w:rPr>
          <w:rFonts w:ascii="Book Antiqua" w:hAnsi="Book Antiqua"/>
          <w:i/>
          <w:iCs/>
          <w:sz w:val="18"/>
          <w:szCs w:val="18"/>
        </w:rPr>
      </w:pPr>
      <w:r w:rsidRPr="00823285">
        <w:rPr>
          <w:rFonts w:ascii="Book Antiqua" w:hAnsi="Book Antiqua"/>
          <w:i/>
          <w:iCs/>
          <w:sz w:val="18"/>
          <w:szCs w:val="18"/>
        </w:rPr>
        <w:t>Linetec is a brand of Apogee Enterprises and the nation’s largest finishing services provider for architectural aluminum products. To learn more</w:t>
      </w:r>
      <w:r w:rsidRPr="00823285">
        <w:rPr>
          <w:rFonts w:ascii="Book Antiqua" w:hAnsi="Book Antiqua"/>
          <w:i/>
          <w:iCs/>
          <w:color w:val="000000"/>
          <w:sz w:val="18"/>
          <w:szCs w:val="18"/>
        </w:rPr>
        <w:t xml:space="preserve">, please visit </w:t>
      </w:r>
      <w:r w:rsidRPr="00823285">
        <w:rPr>
          <w:rFonts w:ascii="Book Antiqua" w:hAnsi="Book Antiqua"/>
          <w:i/>
          <w:iCs/>
          <w:sz w:val="18"/>
          <w:szCs w:val="18"/>
        </w:rPr>
        <w:t>https://linetec.com.</w:t>
      </w:r>
    </w:p>
    <w:p w14:paraId="34BD5688" w14:textId="1DB49AE6" w:rsidR="00751274" w:rsidRPr="00823285" w:rsidRDefault="00823285" w:rsidP="00823285">
      <w:pPr>
        <w:spacing w:after="0" w:line="240" w:lineRule="auto"/>
        <w:ind w:right="180"/>
        <w:contextualSpacing/>
        <w:jc w:val="center"/>
        <w:rPr>
          <w:rFonts w:ascii="Book Antiqua" w:hAnsi="Book Antiqua"/>
          <w:i/>
          <w:iCs/>
          <w:sz w:val="18"/>
          <w:szCs w:val="18"/>
        </w:rPr>
      </w:pPr>
      <w:r w:rsidRPr="00823285">
        <w:rPr>
          <w:rFonts w:ascii="Book Antiqua" w:hAnsi="Book Antiqua"/>
          <w:i/>
          <w:iCs/>
          <w:sz w:val="18"/>
          <w:szCs w:val="18"/>
        </w:rPr>
        <w:t>###</w:t>
      </w:r>
    </w:p>
    <w:sectPr w:rsidR="00751274" w:rsidRPr="00823285" w:rsidSect="005C4D2F">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C5A8" w14:textId="77777777" w:rsidR="00C71EFB" w:rsidRDefault="00C71EFB" w:rsidP="00686ACF">
      <w:pPr>
        <w:spacing w:after="0" w:line="240" w:lineRule="auto"/>
      </w:pPr>
      <w:r>
        <w:separator/>
      </w:r>
    </w:p>
  </w:endnote>
  <w:endnote w:type="continuationSeparator" w:id="0">
    <w:p w14:paraId="1150E0CC" w14:textId="77777777" w:rsidR="00C71EFB" w:rsidRDefault="00C71EFB"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2AC5" w14:textId="77777777" w:rsidR="00F9735B" w:rsidRDefault="00F9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7D5C" w14:textId="77777777" w:rsidR="00F9735B" w:rsidRDefault="00F9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24D" w14:textId="77777777" w:rsidR="00C71EFB" w:rsidRDefault="00C71EFB" w:rsidP="00686ACF">
      <w:pPr>
        <w:spacing w:after="0" w:line="240" w:lineRule="auto"/>
      </w:pPr>
      <w:r>
        <w:separator/>
      </w:r>
    </w:p>
  </w:footnote>
  <w:footnote w:type="continuationSeparator" w:id="0">
    <w:p w14:paraId="3F30ABDE" w14:textId="77777777" w:rsidR="00C71EFB" w:rsidRDefault="00C71EFB"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05D2" w14:textId="513AD216" w:rsidR="00F9735B" w:rsidRDefault="00F9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589A851C"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27D1" w14:textId="7DE4E53A" w:rsidR="00F9735B" w:rsidRDefault="00F9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911"/>
    <w:multiLevelType w:val="hybridMultilevel"/>
    <w:tmpl w:val="62EEB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2B3AD9"/>
    <w:multiLevelType w:val="hybridMultilevel"/>
    <w:tmpl w:val="C12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3"/>
  </w:num>
  <w:num w:numId="2" w16cid:durableId="1125538149">
    <w:abstractNumId w:val="5"/>
  </w:num>
  <w:num w:numId="3" w16cid:durableId="686758806">
    <w:abstractNumId w:val="4"/>
  </w:num>
  <w:num w:numId="4" w16cid:durableId="1678341981">
    <w:abstractNumId w:val="2"/>
  </w:num>
  <w:num w:numId="5" w16cid:durableId="1815174140">
    <w:abstractNumId w:val="1"/>
  </w:num>
  <w:num w:numId="6" w16cid:durableId="16267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0449B"/>
    <w:rsid w:val="00011D23"/>
    <w:rsid w:val="00031C0C"/>
    <w:rsid w:val="00036266"/>
    <w:rsid w:val="00062D46"/>
    <w:rsid w:val="00070DE4"/>
    <w:rsid w:val="00072B77"/>
    <w:rsid w:val="000948CE"/>
    <w:rsid w:val="0009713C"/>
    <w:rsid w:val="000A2CB5"/>
    <w:rsid w:val="000A4F9B"/>
    <w:rsid w:val="000A751F"/>
    <w:rsid w:val="000B56F5"/>
    <w:rsid w:val="000B63FE"/>
    <w:rsid w:val="000B745A"/>
    <w:rsid w:val="000D651A"/>
    <w:rsid w:val="00157496"/>
    <w:rsid w:val="001719A6"/>
    <w:rsid w:val="001B57DC"/>
    <w:rsid w:val="001C036C"/>
    <w:rsid w:val="001C1905"/>
    <w:rsid w:val="001D790D"/>
    <w:rsid w:val="001F4B1A"/>
    <w:rsid w:val="002108B3"/>
    <w:rsid w:val="00211CAC"/>
    <w:rsid w:val="0021476D"/>
    <w:rsid w:val="00247E10"/>
    <w:rsid w:val="00286F72"/>
    <w:rsid w:val="002B7EB4"/>
    <w:rsid w:val="002C56E3"/>
    <w:rsid w:val="002E635A"/>
    <w:rsid w:val="003255DE"/>
    <w:rsid w:val="00330511"/>
    <w:rsid w:val="00333001"/>
    <w:rsid w:val="00352142"/>
    <w:rsid w:val="0036307A"/>
    <w:rsid w:val="0037024D"/>
    <w:rsid w:val="00383899"/>
    <w:rsid w:val="00384B28"/>
    <w:rsid w:val="00392467"/>
    <w:rsid w:val="003B34DC"/>
    <w:rsid w:val="003E1F77"/>
    <w:rsid w:val="003F3723"/>
    <w:rsid w:val="004009EF"/>
    <w:rsid w:val="004451C2"/>
    <w:rsid w:val="00474754"/>
    <w:rsid w:val="00487D27"/>
    <w:rsid w:val="004A059B"/>
    <w:rsid w:val="004C782F"/>
    <w:rsid w:val="004D63FD"/>
    <w:rsid w:val="00502BCE"/>
    <w:rsid w:val="00521B4B"/>
    <w:rsid w:val="005328CF"/>
    <w:rsid w:val="00547A06"/>
    <w:rsid w:val="00560059"/>
    <w:rsid w:val="0056492E"/>
    <w:rsid w:val="00577E80"/>
    <w:rsid w:val="0058725F"/>
    <w:rsid w:val="005A38C1"/>
    <w:rsid w:val="005B433A"/>
    <w:rsid w:val="005C4D2F"/>
    <w:rsid w:val="005D5EA8"/>
    <w:rsid w:val="005F0342"/>
    <w:rsid w:val="005F104B"/>
    <w:rsid w:val="005F43F4"/>
    <w:rsid w:val="00610216"/>
    <w:rsid w:val="00620C09"/>
    <w:rsid w:val="00632AA6"/>
    <w:rsid w:val="006408E2"/>
    <w:rsid w:val="00642587"/>
    <w:rsid w:val="006619EB"/>
    <w:rsid w:val="00686ACF"/>
    <w:rsid w:val="006907A6"/>
    <w:rsid w:val="006A3591"/>
    <w:rsid w:val="006E052F"/>
    <w:rsid w:val="006F6275"/>
    <w:rsid w:val="00710B8B"/>
    <w:rsid w:val="00736397"/>
    <w:rsid w:val="00742426"/>
    <w:rsid w:val="00751274"/>
    <w:rsid w:val="007838F8"/>
    <w:rsid w:val="00790F32"/>
    <w:rsid w:val="007B0807"/>
    <w:rsid w:val="007C2F14"/>
    <w:rsid w:val="007D1843"/>
    <w:rsid w:val="007D4A06"/>
    <w:rsid w:val="007E7211"/>
    <w:rsid w:val="007F2D34"/>
    <w:rsid w:val="008124FD"/>
    <w:rsid w:val="0081401D"/>
    <w:rsid w:val="00815604"/>
    <w:rsid w:val="00823285"/>
    <w:rsid w:val="00825120"/>
    <w:rsid w:val="00844A15"/>
    <w:rsid w:val="008462D2"/>
    <w:rsid w:val="00852468"/>
    <w:rsid w:val="00864848"/>
    <w:rsid w:val="00864C28"/>
    <w:rsid w:val="0086757F"/>
    <w:rsid w:val="0088192A"/>
    <w:rsid w:val="008A3933"/>
    <w:rsid w:val="008D3B43"/>
    <w:rsid w:val="0090566B"/>
    <w:rsid w:val="009268A4"/>
    <w:rsid w:val="00935072"/>
    <w:rsid w:val="00943B3B"/>
    <w:rsid w:val="00943F02"/>
    <w:rsid w:val="00961580"/>
    <w:rsid w:val="00963F66"/>
    <w:rsid w:val="00967CF7"/>
    <w:rsid w:val="00973727"/>
    <w:rsid w:val="00983EA5"/>
    <w:rsid w:val="009A25D5"/>
    <w:rsid w:val="009A7734"/>
    <w:rsid w:val="009B4812"/>
    <w:rsid w:val="009F3EF5"/>
    <w:rsid w:val="00A03B09"/>
    <w:rsid w:val="00A230D2"/>
    <w:rsid w:val="00A24471"/>
    <w:rsid w:val="00A24D6E"/>
    <w:rsid w:val="00A931A2"/>
    <w:rsid w:val="00AA1EF5"/>
    <w:rsid w:val="00AA29E1"/>
    <w:rsid w:val="00AC1338"/>
    <w:rsid w:val="00AD68F1"/>
    <w:rsid w:val="00B32B3D"/>
    <w:rsid w:val="00B332B0"/>
    <w:rsid w:val="00B34513"/>
    <w:rsid w:val="00B43310"/>
    <w:rsid w:val="00B66C28"/>
    <w:rsid w:val="00B74433"/>
    <w:rsid w:val="00B8254C"/>
    <w:rsid w:val="00B84971"/>
    <w:rsid w:val="00BC4DC4"/>
    <w:rsid w:val="00BC689E"/>
    <w:rsid w:val="00BD2AF3"/>
    <w:rsid w:val="00BD2DBD"/>
    <w:rsid w:val="00BF59B3"/>
    <w:rsid w:val="00C05F3A"/>
    <w:rsid w:val="00C2550E"/>
    <w:rsid w:val="00C30C82"/>
    <w:rsid w:val="00C60F77"/>
    <w:rsid w:val="00C66382"/>
    <w:rsid w:val="00C71EFB"/>
    <w:rsid w:val="00C81D24"/>
    <w:rsid w:val="00C97877"/>
    <w:rsid w:val="00CB57EA"/>
    <w:rsid w:val="00CD3AAA"/>
    <w:rsid w:val="00D04887"/>
    <w:rsid w:val="00D21A5F"/>
    <w:rsid w:val="00D307EA"/>
    <w:rsid w:val="00D56224"/>
    <w:rsid w:val="00D72899"/>
    <w:rsid w:val="00D80A3C"/>
    <w:rsid w:val="00D85F80"/>
    <w:rsid w:val="00D94A65"/>
    <w:rsid w:val="00DC69A7"/>
    <w:rsid w:val="00DE31ED"/>
    <w:rsid w:val="00DF2891"/>
    <w:rsid w:val="00E00557"/>
    <w:rsid w:val="00E03521"/>
    <w:rsid w:val="00E145AA"/>
    <w:rsid w:val="00E152A7"/>
    <w:rsid w:val="00E36D6B"/>
    <w:rsid w:val="00E710E1"/>
    <w:rsid w:val="00E873DF"/>
    <w:rsid w:val="00E93F1C"/>
    <w:rsid w:val="00EA2A5C"/>
    <w:rsid w:val="00EA6898"/>
    <w:rsid w:val="00EC361A"/>
    <w:rsid w:val="00ED4C15"/>
    <w:rsid w:val="00ED58D1"/>
    <w:rsid w:val="00EE0E68"/>
    <w:rsid w:val="00EE2FAA"/>
    <w:rsid w:val="00F10F2F"/>
    <w:rsid w:val="00F1101C"/>
    <w:rsid w:val="00F17638"/>
    <w:rsid w:val="00F30E57"/>
    <w:rsid w:val="00F85453"/>
    <w:rsid w:val="00F877EC"/>
    <w:rsid w:val="00F91A4D"/>
    <w:rsid w:val="00F9735B"/>
    <w:rsid w:val="00FA0137"/>
    <w:rsid w:val="00FB6952"/>
    <w:rsid w:val="00FD49E4"/>
    <w:rsid w:val="00FE7601"/>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3</cp:revision>
  <cp:lastPrinted>2023-01-05T20:24:00Z</cp:lastPrinted>
  <dcterms:created xsi:type="dcterms:W3CDTF">2024-05-14T18:02:00Z</dcterms:created>
  <dcterms:modified xsi:type="dcterms:W3CDTF">2024-05-14T18:05:00Z</dcterms:modified>
</cp:coreProperties>
</file>