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10D1" w14:textId="77777777" w:rsidR="00D7741E" w:rsidRDefault="00D7741E" w:rsidP="00D86C5F">
      <w:pPr>
        <w:pStyle w:val="NormalWeb"/>
        <w:spacing w:before="0" w:beforeAutospacing="0" w:after="0" w:afterAutospacing="0"/>
        <w:ind w:right="774"/>
        <w:contextualSpacing/>
      </w:pPr>
      <w:r>
        <w:rPr>
          <w:noProof/>
        </w:rPr>
        <w:drawing>
          <wp:inline distT="0" distB="0" distL="0" distR="0" wp14:anchorId="3B5D01FC" wp14:editId="12192255">
            <wp:extent cx="2995531" cy="781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0458" cy="790208"/>
                    </a:xfrm>
                    <a:prstGeom prst="rect">
                      <a:avLst/>
                    </a:prstGeom>
                    <a:noFill/>
                    <a:ln>
                      <a:noFill/>
                    </a:ln>
                  </pic:spPr>
                </pic:pic>
              </a:graphicData>
            </a:graphic>
          </wp:inline>
        </w:drawing>
      </w:r>
    </w:p>
    <w:p w14:paraId="067C63E1" w14:textId="77777777" w:rsidR="00D7741E" w:rsidRDefault="00D7741E" w:rsidP="00D86C5F">
      <w:pPr>
        <w:spacing w:after="0" w:line="240" w:lineRule="auto"/>
        <w:ind w:right="774"/>
        <w:contextualSpacing/>
        <w:rPr>
          <w:b/>
          <w:bCs/>
          <w:sz w:val="28"/>
          <w:szCs w:val="28"/>
        </w:rPr>
      </w:pPr>
    </w:p>
    <w:p w14:paraId="0F0D914B" w14:textId="3139646C" w:rsidR="00D86C5F" w:rsidRPr="00D86C5F" w:rsidRDefault="00D86C5F" w:rsidP="00D86C5F">
      <w:pPr>
        <w:ind w:right="774"/>
        <w:rPr>
          <w:i/>
          <w:iCs/>
          <w:sz w:val="18"/>
          <w:szCs w:val="18"/>
        </w:rPr>
      </w:pPr>
      <w:r w:rsidRPr="00D86C5F">
        <w:rPr>
          <w:i/>
          <w:iCs/>
          <w:sz w:val="18"/>
          <w:szCs w:val="18"/>
        </w:rPr>
        <w:t>Media contact</w:t>
      </w:r>
      <w:r w:rsidRPr="00D86C5F">
        <w:rPr>
          <w:i/>
          <w:iCs/>
          <w:sz w:val="18"/>
          <w:szCs w:val="18"/>
        </w:rPr>
        <w:t xml:space="preserve">: </w:t>
      </w:r>
      <w:r w:rsidRPr="00D86C5F">
        <w:rPr>
          <w:i/>
          <w:iCs/>
          <w:sz w:val="18"/>
          <w:szCs w:val="18"/>
        </w:rPr>
        <w:t>Heather West, 612-724-8760, heather@heatherwestpr.com</w:t>
      </w:r>
    </w:p>
    <w:p w14:paraId="168B9662" w14:textId="77777777" w:rsidR="00D86C5F" w:rsidRPr="001736CB" w:rsidRDefault="00D86C5F" w:rsidP="00D86C5F">
      <w:pPr>
        <w:spacing w:after="0" w:line="240" w:lineRule="auto"/>
        <w:ind w:right="774"/>
        <w:contextualSpacing/>
        <w:rPr>
          <w:rFonts w:ascii="Calibri" w:hAnsi="Calibri" w:cs="Calibri"/>
          <w:b/>
          <w:color w:val="000000"/>
          <w:sz w:val="20"/>
          <w:u w:val="single"/>
        </w:rPr>
      </w:pPr>
    </w:p>
    <w:p w14:paraId="0414E08F" w14:textId="77777777" w:rsidR="00D86C5F" w:rsidRPr="00FE7494" w:rsidRDefault="00D86C5F" w:rsidP="00D86C5F">
      <w:pPr>
        <w:spacing w:after="0" w:line="240" w:lineRule="auto"/>
        <w:ind w:right="774"/>
        <w:contextualSpacing/>
        <w:jc w:val="center"/>
      </w:pPr>
      <w:r w:rsidRPr="00A83917">
        <w:rPr>
          <w:b/>
          <w:bCs/>
          <w:sz w:val="32"/>
          <w:szCs w:val="32"/>
        </w:rPr>
        <w:t xml:space="preserve">Apogee Enterprises, Inc. </w:t>
      </w:r>
      <w:r>
        <w:rPr>
          <w:b/>
          <w:bCs/>
          <w:sz w:val="32"/>
          <w:szCs w:val="32"/>
        </w:rPr>
        <w:t>c</w:t>
      </w:r>
      <w:r w:rsidRPr="00A83917">
        <w:rPr>
          <w:b/>
          <w:bCs/>
          <w:sz w:val="32"/>
          <w:szCs w:val="32"/>
        </w:rPr>
        <w:t xml:space="preserve">elebrates its 75th </w:t>
      </w:r>
      <w:r>
        <w:rPr>
          <w:b/>
          <w:bCs/>
          <w:sz w:val="32"/>
          <w:szCs w:val="32"/>
        </w:rPr>
        <w:t>A</w:t>
      </w:r>
      <w:r w:rsidRPr="00A83917">
        <w:rPr>
          <w:b/>
          <w:bCs/>
          <w:sz w:val="32"/>
          <w:szCs w:val="32"/>
        </w:rPr>
        <w:t>nniversary</w:t>
      </w:r>
    </w:p>
    <w:p w14:paraId="2FF76ED8" w14:textId="77777777" w:rsidR="00D86C5F" w:rsidRDefault="00D86C5F" w:rsidP="00D86C5F">
      <w:pPr>
        <w:spacing w:after="0" w:line="240" w:lineRule="auto"/>
        <w:ind w:right="774"/>
        <w:contextualSpacing/>
      </w:pPr>
    </w:p>
    <w:p w14:paraId="42642458" w14:textId="77777777" w:rsidR="00D86C5F" w:rsidRPr="00FE7494" w:rsidRDefault="00D86C5F" w:rsidP="00D86C5F">
      <w:pPr>
        <w:spacing w:after="0" w:line="240" w:lineRule="auto"/>
        <w:ind w:right="774"/>
        <w:contextualSpacing/>
      </w:pPr>
      <w:r>
        <w:t>Minneapolis (July 2024) – Apogee Enterprises, Inc. is celebrating its 75</w:t>
      </w:r>
      <w:r w:rsidRPr="00A83917">
        <w:rPr>
          <w:vertAlign w:val="superscript"/>
        </w:rPr>
        <w:t>th</w:t>
      </w:r>
      <w:r>
        <w:t xml:space="preserve"> anniversary across its locations and brands </w:t>
      </w:r>
      <w:bookmarkStart w:id="0" w:name="_Hlk164674110"/>
      <w:r>
        <w:t xml:space="preserve">– Alumicor™, EFCO®, Harmon®, Linetec®, Tru Vue®, Tubelite®, Viracon®, and </w:t>
      </w:r>
      <w:proofErr w:type="spellStart"/>
      <w:r>
        <w:t>GlassecViracon</w:t>
      </w:r>
      <w:proofErr w:type="spellEnd"/>
      <w:r>
        <w:t xml:space="preserve">. </w:t>
      </w:r>
      <w:bookmarkEnd w:id="0"/>
      <w:r>
        <w:t>The company has built a record of growth and innovation, emerging as an industry leading supplier of architectural products and services.</w:t>
      </w:r>
    </w:p>
    <w:p w14:paraId="16D30F93" w14:textId="77777777" w:rsidR="00D86C5F" w:rsidRPr="00FE7494" w:rsidRDefault="00D86C5F" w:rsidP="00D86C5F">
      <w:pPr>
        <w:spacing w:after="0" w:line="240" w:lineRule="auto"/>
        <w:ind w:right="774"/>
        <w:contextualSpacing/>
      </w:pPr>
    </w:p>
    <w:p w14:paraId="3A093872" w14:textId="77777777" w:rsidR="00D86C5F" w:rsidRDefault="00D86C5F" w:rsidP="00D86C5F">
      <w:pPr>
        <w:spacing w:after="0" w:line="240" w:lineRule="auto"/>
        <w:ind w:right="774"/>
        <w:contextualSpacing/>
      </w:pPr>
      <w:bookmarkStart w:id="1" w:name="_Hlk168648106"/>
      <w:r>
        <w:t>F</w:t>
      </w:r>
      <w:r w:rsidRPr="00FE7494">
        <w:t>ounded as the Harmon Glass Company</w:t>
      </w:r>
      <w:r>
        <w:t xml:space="preserve"> </w:t>
      </w:r>
      <w:r w:rsidRPr="00FE7494">
        <w:t>on July 12, 1949</w:t>
      </w:r>
      <w:r>
        <w:t>, t</w:t>
      </w:r>
      <w:r w:rsidRPr="00FE7494">
        <w:t>he company began with a single shop in Minneapolis.</w:t>
      </w:r>
      <w:r>
        <w:t xml:space="preserve"> Today, Apogee operates 15 principal facilities with 4,400 employees, led by CEO </w:t>
      </w:r>
      <w:r w:rsidRPr="00FE7494">
        <w:t xml:space="preserve">Ty </w:t>
      </w:r>
      <w:proofErr w:type="spellStart"/>
      <w:r w:rsidRPr="00FE7494">
        <w:t>Silberhorn</w:t>
      </w:r>
      <w:proofErr w:type="spellEnd"/>
      <w:r>
        <w:t>.</w:t>
      </w:r>
    </w:p>
    <w:bookmarkEnd w:id="1"/>
    <w:p w14:paraId="0EC7302E" w14:textId="77777777" w:rsidR="00D86C5F" w:rsidRDefault="00D86C5F" w:rsidP="00D86C5F">
      <w:pPr>
        <w:spacing w:after="0" w:line="240" w:lineRule="auto"/>
        <w:ind w:right="774"/>
        <w:contextualSpacing/>
      </w:pPr>
    </w:p>
    <w:p w14:paraId="0A90021F" w14:textId="77777777" w:rsidR="00D86C5F" w:rsidRDefault="00D86C5F" w:rsidP="00D86C5F">
      <w:pPr>
        <w:spacing w:after="0" w:line="240" w:lineRule="auto"/>
        <w:ind w:right="774"/>
        <w:contextualSpacing/>
      </w:pPr>
      <w:r w:rsidRPr="005226CD">
        <w:t>From massive skyscrapers to specialty medical clinics,</w:t>
      </w:r>
      <w:r>
        <w:t xml:space="preserve"> schools and other building across the world, </w:t>
      </w:r>
      <w:r w:rsidRPr="005226CD">
        <w:t>Apogee’s ideas, innovations and install</w:t>
      </w:r>
      <w:r>
        <w:t>ation add value, enhance</w:t>
      </w:r>
      <w:r w:rsidRPr="00FE7494">
        <w:t xml:space="preserve"> aesthetic</w:t>
      </w:r>
      <w:r>
        <w:t>s</w:t>
      </w:r>
      <w:r w:rsidRPr="00FE7494">
        <w:t xml:space="preserve"> and </w:t>
      </w:r>
      <w:r>
        <w:t xml:space="preserve">ensure </w:t>
      </w:r>
      <w:r w:rsidRPr="00FE7494">
        <w:t>performance</w:t>
      </w:r>
      <w:r>
        <w:t xml:space="preserve">. These contributions help to </w:t>
      </w:r>
      <w:r w:rsidRPr="00FE7494">
        <w:t xml:space="preserve">improve energy efficiency and resilience for properties, and </w:t>
      </w:r>
      <w:r>
        <w:t xml:space="preserve">provide </w:t>
      </w:r>
      <w:r w:rsidRPr="00FE7494">
        <w:t>greater safety, comfort</w:t>
      </w:r>
      <w:r>
        <w:t>,</w:t>
      </w:r>
      <w:r w:rsidRPr="00FE7494">
        <w:t xml:space="preserve"> and wellness for occupants.</w:t>
      </w:r>
    </w:p>
    <w:p w14:paraId="51AE1595" w14:textId="77777777" w:rsidR="00D86C5F" w:rsidRPr="00FE7494" w:rsidRDefault="00D86C5F" w:rsidP="00D86C5F">
      <w:pPr>
        <w:spacing w:after="0" w:line="240" w:lineRule="auto"/>
        <w:ind w:right="774"/>
        <w:contextualSpacing/>
      </w:pPr>
    </w:p>
    <w:p w14:paraId="1E7EE96C" w14:textId="77777777" w:rsidR="00D86C5F" w:rsidRPr="00C6391A" w:rsidRDefault="00D86C5F" w:rsidP="00D86C5F">
      <w:pPr>
        <w:spacing w:after="0" w:line="240" w:lineRule="auto"/>
        <w:ind w:right="774"/>
        <w:contextualSpacing/>
      </w:pPr>
      <w:r w:rsidRPr="00C6391A">
        <w:t>"</w:t>
      </w:r>
      <w:r>
        <w:t>Seventy-five</w:t>
      </w:r>
      <w:r w:rsidRPr="00C6391A">
        <w:t xml:space="preserve"> years is a remarkable milestone that few companies achieve and speaks to the resilience, ingenuity and innovation of the people that have built our company,” said Ty R. </w:t>
      </w:r>
      <w:proofErr w:type="spellStart"/>
      <w:r w:rsidRPr="00C6391A">
        <w:t>Silberhorn</w:t>
      </w:r>
      <w:proofErr w:type="spellEnd"/>
      <w:r w:rsidRPr="00C6391A">
        <w:t xml:space="preserve">, </w:t>
      </w:r>
      <w:r>
        <w:t>Apogee’s c</w:t>
      </w:r>
      <w:r w:rsidRPr="00C6391A">
        <w:t xml:space="preserve">hief </w:t>
      </w:r>
      <w:r>
        <w:t>e</w:t>
      </w:r>
      <w:r w:rsidRPr="00C6391A">
        <w:t xml:space="preserve">xecutive </w:t>
      </w:r>
      <w:r>
        <w:t>o</w:t>
      </w:r>
      <w:r w:rsidRPr="00C6391A">
        <w:t>fficer. “I’d like to extend my thanks to all of Apogee’s employees, past and present, who have contributed to our company’s success over the years.”</w:t>
      </w:r>
    </w:p>
    <w:p w14:paraId="05CD841E" w14:textId="77777777" w:rsidR="00D86C5F" w:rsidRPr="00C6391A" w:rsidRDefault="00D86C5F" w:rsidP="00D86C5F">
      <w:pPr>
        <w:spacing w:after="0" w:line="240" w:lineRule="auto"/>
        <w:ind w:right="774"/>
        <w:contextualSpacing/>
      </w:pPr>
    </w:p>
    <w:p w14:paraId="385228FF" w14:textId="77777777" w:rsidR="00D86C5F" w:rsidRPr="00C6391A" w:rsidRDefault="00D86C5F" w:rsidP="00D86C5F">
      <w:pPr>
        <w:spacing w:after="0" w:line="240" w:lineRule="auto"/>
        <w:ind w:right="774"/>
        <w:contextualSpacing/>
      </w:pPr>
      <w:proofErr w:type="spellStart"/>
      <w:r w:rsidRPr="00C6391A">
        <w:t>Silberhorn</w:t>
      </w:r>
      <w:proofErr w:type="spellEnd"/>
      <w:r w:rsidRPr="00C6391A">
        <w:t xml:space="preserve"> continued, “Throughout its history, our company has reinvented itself several times by innovating our business model and offerings to adapt to the changing market. While we take great pride in our history, we’re just as excited about what the future holds for Apogee. We are strengthening our operations, improving our products and service for customers, and investing to strengthen our team and grow our business. I look forward to working with our employees, customers, and shareholders to write the next chapter in our company’s story.”</w:t>
      </w:r>
    </w:p>
    <w:p w14:paraId="42FB9E05" w14:textId="77777777" w:rsidR="00D86C5F" w:rsidRDefault="00D86C5F" w:rsidP="00D86C5F">
      <w:pPr>
        <w:spacing w:after="0" w:line="240" w:lineRule="auto"/>
        <w:ind w:right="774"/>
        <w:contextualSpacing/>
      </w:pPr>
    </w:p>
    <w:p w14:paraId="49EA086C" w14:textId="77777777" w:rsidR="00D86C5F" w:rsidRDefault="00D86C5F" w:rsidP="00D86C5F">
      <w:pPr>
        <w:spacing w:after="0" w:line="240" w:lineRule="auto"/>
        <w:ind w:right="774"/>
        <w:contextualSpacing/>
      </w:pPr>
      <w:bookmarkStart w:id="2" w:name="_Hlk168649042"/>
      <w:r>
        <w:t>Initially, Harmon replaced windshields for used car dealers and then began offering contract glass installation</w:t>
      </w:r>
      <w:r w:rsidRPr="00FE7494">
        <w:t xml:space="preserve"> </w:t>
      </w:r>
      <w:r>
        <w:t xml:space="preserve">for buildings in 1955. </w:t>
      </w:r>
      <w:r w:rsidRPr="00FE7494">
        <w:t xml:space="preserve">Throughout the 1960s, the company expanded into multiple </w:t>
      </w:r>
      <w:r>
        <w:t>business lines</w:t>
      </w:r>
      <w:r w:rsidRPr="00FE7494">
        <w:t xml:space="preserve">. To coordinate the activities of </w:t>
      </w:r>
      <w:r>
        <w:t>its</w:t>
      </w:r>
      <w:r w:rsidRPr="00FE7494">
        <w:t xml:space="preserve"> subsidiaries, Apogee Enterprises, Inc. was formed in 1968.</w:t>
      </w:r>
      <w:r>
        <w:t xml:space="preserve"> Later that year, it acquired a manufacturer of aluminum-framed windows in Wausau, Wisconsin, which would become the foundation for the company’s Architectural Framing Systems business. In 1969, </w:t>
      </w:r>
      <w:r w:rsidRPr="00FE7494">
        <w:t>Apogee</w:t>
      </w:r>
      <w:r>
        <w:t xml:space="preserve"> also invested in starting a glass fabrication business, Viracon.</w:t>
      </w:r>
    </w:p>
    <w:bookmarkEnd w:id="2"/>
    <w:p w14:paraId="3251F293" w14:textId="77777777" w:rsidR="00D86C5F" w:rsidRDefault="00D86C5F" w:rsidP="00D86C5F">
      <w:pPr>
        <w:spacing w:after="0" w:line="240" w:lineRule="auto"/>
        <w:ind w:right="774"/>
        <w:contextualSpacing/>
      </w:pPr>
    </w:p>
    <w:p w14:paraId="150D47BC" w14:textId="2D54F394" w:rsidR="00D86C5F" w:rsidRPr="00D86C5F" w:rsidRDefault="00D86C5F" w:rsidP="00D86C5F">
      <w:pPr>
        <w:spacing w:after="0" w:line="240" w:lineRule="auto"/>
        <w:ind w:right="774"/>
        <w:contextualSpacing/>
        <w:jc w:val="center"/>
        <w:rPr>
          <w:i/>
          <w:iCs/>
          <w:sz w:val="18"/>
          <w:szCs w:val="18"/>
        </w:rPr>
      </w:pPr>
      <w:bookmarkStart w:id="3" w:name="_Hlk168649147"/>
      <w:r w:rsidRPr="00D86C5F">
        <w:rPr>
          <w:i/>
          <w:iCs/>
          <w:sz w:val="18"/>
          <w:szCs w:val="18"/>
        </w:rPr>
        <w:t>(more)</w:t>
      </w:r>
    </w:p>
    <w:p w14:paraId="48CA57AD" w14:textId="77777777" w:rsidR="00D86C5F" w:rsidRDefault="00D86C5F" w:rsidP="00D86C5F">
      <w:pPr>
        <w:spacing w:after="0" w:line="240" w:lineRule="auto"/>
        <w:ind w:right="774"/>
        <w:contextualSpacing/>
      </w:pPr>
    </w:p>
    <w:p w14:paraId="2E133395" w14:textId="77777777" w:rsidR="00D86C5F" w:rsidRDefault="00D86C5F" w:rsidP="00D86C5F">
      <w:pPr>
        <w:spacing w:after="0" w:line="240" w:lineRule="auto"/>
        <w:ind w:right="774"/>
        <w:contextualSpacing/>
      </w:pPr>
    </w:p>
    <w:p w14:paraId="4140D324" w14:textId="77777777" w:rsidR="00D86C5F" w:rsidRDefault="00D86C5F" w:rsidP="00D86C5F">
      <w:pPr>
        <w:spacing w:after="0" w:line="240" w:lineRule="auto"/>
        <w:ind w:right="774"/>
        <w:contextualSpacing/>
      </w:pPr>
    </w:p>
    <w:p w14:paraId="27E57A3F" w14:textId="77777777" w:rsidR="00D86C5F" w:rsidRDefault="00D86C5F" w:rsidP="00D86C5F">
      <w:pPr>
        <w:spacing w:after="0" w:line="240" w:lineRule="auto"/>
        <w:ind w:right="774"/>
        <w:contextualSpacing/>
      </w:pPr>
    </w:p>
    <w:p w14:paraId="0CD3B4FE" w14:textId="6EF0D342" w:rsidR="00D86C5F" w:rsidRDefault="00D86C5F" w:rsidP="00D86C5F">
      <w:pPr>
        <w:spacing w:after="0" w:line="240" w:lineRule="auto"/>
        <w:ind w:right="774"/>
        <w:contextualSpacing/>
      </w:pPr>
      <w:r>
        <w:t>In 1971, Apogee became a publicly traded company, listing shares on the Nasdaq Over-the-Counter exchange. It has continued to grow through acquisitions and organic growth investments, reaching a record $1.4 billion in sales in 2023.</w:t>
      </w:r>
    </w:p>
    <w:bookmarkEnd w:id="3"/>
    <w:p w14:paraId="30D3219B" w14:textId="77777777" w:rsidR="00D86C5F" w:rsidRDefault="00D86C5F" w:rsidP="00D86C5F">
      <w:pPr>
        <w:spacing w:after="0" w:line="240" w:lineRule="auto"/>
        <w:ind w:right="774"/>
        <w:contextualSpacing/>
      </w:pPr>
    </w:p>
    <w:p w14:paraId="2EBD0D07" w14:textId="77777777" w:rsidR="00D86C5F" w:rsidRPr="00C6391A" w:rsidRDefault="00D86C5F" w:rsidP="00D86C5F">
      <w:pPr>
        <w:spacing w:after="0" w:line="240" w:lineRule="auto"/>
        <w:ind w:right="774"/>
        <w:contextualSpacing/>
        <w:rPr>
          <w:bCs/>
        </w:rPr>
      </w:pPr>
      <w:bookmarkStart w:id="4" w:name="_Hlk168649337"/>
      <w:r>
        <w:t xml:space="preserve">Throughout the years, Apogee’s businesses and brands have frequently been recognized for their innovation and success. </w:t>
      </w:r>
      <w:bookmarkEnd w:id="4"/>
      <w:r>
        <w:t xml:space="preserve">In February 2024, </w:t>
      </w:r>
      <w:r w:rsidRPr="004D2A32">
        <w:rPr>
          <w:i/>
          <w:iCs/>
        </w:rPr>
        <w:t>USGlass Magazine</w:t>
      </w:r>
      <w:r>
        <w:t xml:space="preserve">’s Top 50 ranked Harmon as the #1 largest contract glazier. </w:t>
      </w:r>
      <w:r w:rsidRPr="00C6391A">
        <w:rPr>
          <w:bCs/>
        </w:rPr>
        <w:t xml:space="preserve">The </w:t>
      </w:r>
      <w:hyperlink r:id="rId8" w:history="1">
        <w:r w:rsidRPr="00C6391A">
          <w:rPr>
            <w:rStyle w:val="Hyperlink"/>
            <w:bCs/>
          </w:rPr>
          <w:t>Viracon</w:t>
        </w:r>
      </w:hyperlink>
      <w:r w:rsidRPr="00C6391A">
        <w:rPr>
          <w:bCs/>
        </w:rPr>
        <w:t xml:space="preserve"> brand is recognized as an industry-leading architectural glass fabricator. Architectural Framing Systems brands, </w:t>
      </w:r>
      <w:hyperlink r:id="rId9" w:history="1">
        <w:r w:rsidRPr="00C6391A">
          <w:rPr>
            <w:rStyle w:val="Hyperlink"/>
            <w:bCs/>
          </w:rPr>
          <w:t>Alumicor</w:t>
        </w:r>
      </w:hyperlink>
      <w:r w:rsidRPr="00C6391A">
        <w:rPr>
          <w:bCs/>
        </w:rPr>
        <w:t xml:space="preserve">, </w:t>
      </w:r>
      <w:hyperlink r:id="rId10" w:history="1">
        <w:r w:rsidRPr="00C6391A">
          <w:rPr>
            <w:rStyle w:val="Hyperlink"/>
            <w:bCs/>
          </w:rPr>
          <w:t>EFCO</w:t>
        </w:r>
      </w:hyperlink>
      <w:r w:rsidRPr="00C6391A">
        <w:rPr>
          <w:bCs/>
        </w:rPr>
        <w:t xml:space="preserve">, </w:t>
      </w:r>
      <w:hyperlink r:id="rId11" w:history="1">
        <w:r w:rsidRPr="00C6391A">
          <w:rPr>
            <w:rStyle w:val="Hyperlink"/>
            <w:bCs/>
          </w:rPr>
          <w:t>Linetec</w:t>
        </w:r>
      </w:hyperlink>
      <w:r w:rsidRPr="00C6391A">
        <w:rPr>
          <w:bCs/>
        </w:rPr>
        <w:t xml:space="preserve"> and </w:t>
      </w:r>
      <w:hyperlink r:id="rId12" w:history="1">
        <w:r w:rsidRPr="00C6391A">
          <w:rPr>
            <w:rStyle w:val="Hyperlink"/>
            <w:bCs/>
          </w:rPr>
          <w:t>Tubelite</w:t>
        </w:r>
      </w:hyperlink>
      <w:r w:rsidRPr="00C6391A">
        <w:rPr>
          <w:bCs/>
        </w:rPr>
        <w:t xml:space="preserve"> set the standard for quality, reliability and customer service, and the </w:t>
      </w:r>
      <w:hyperlink r:id="rId13" w:history="1">
        <w:r w:rsidRPr="00C6391A">
          <w:rPr>
            <w:rStyle w:val="Hyperlink"/>
            <w:bCs/>
          </w:rPr>
          <w:t>Tru Vue</w:t>
        </w:r>
      </w:hyperlink>
      <w:r w:rsidRPr="00C6391A">
        <w:rPr>
          <w:bCs/>
        </w:rPr>
        <w:t xml:space="preserve"> brand is a leading provider of optical coatings for glass and acrylic.</w:t>
      </w:r>
    </w:p>
    <w:p w14:paraId="25A99797" w14:textId="77777777" w:rsidR="00D86C5F" w:rsidRPr="00FE7494" w:rsidRDefault="00D86C5F" w:rsidP="00D86C5F">
      <w:pPr>
        <w:spacing w:after="0" w:line="240" w:lineRule="auto"/>
        <w:ind w:right="774"/>
        <w:contextualSpacing/>
      </w:pPr>
    </w:p>
    <w:p w14:paraId="762951B8" w14:textId="026851C8" w:rsidR="00D86C5F" w:rsidRPr="0027320C" w:rsidRDefault="00D86C5F" w:rsidP="00D86C5F">
      <w:pPr>
        <w:spacing w:after="0" w:line="240" w:lineRule="auto"/>
        <w:ind w:right="774"/>
        <w:contextualSpacing/>
        <w:rPr>
          <w:i/>
          <w:iCs/>
        </w:rPr>
      </w:pPr>
      <w:bookmarkStart w:id="5" w:name="_Hlk168650302"/>
      <w:r>
        <w:rPr>
          <w:i/>
          <w:iCs/>
        </w:rPr>
        <w:t>Learn more about Apogee Enterprises, its brands</w:t>
      </w:r>
      <w:r w:rsidRPr="00F117DD">
        <w:rPr>
          <w:i/>
          <w:iCs/>
        </w:rPr>
        <w:t xml:space="preserve"> and its history at </w:t>
      </w:r>
      <w:hyperlink r:id="rId14" w:history="1">
        <w:r w:rsidRPr="00B4168B">
          <w:rPr>
            <w:rStyle w:val="Hyperlink"/>
            <w:i/>
            <w:iCs/>
          </w:rPr>
          <w:t>https://www.apog.com</w:t>
        </w:r>
      </w:hyperlink>
      <w:r w:rsidRPr="00F117DD">
        <w:rPr>
          <w:i/>
          <w:iCs/>
        </w:rPr>
        <w:t>.</w:t>
      </w:r>
      <w:r>
        <w:rPr>
          <w:i/>
          <w:iCs/>
        </w:rPr>
        <w:t xml:space="preserve"> </w:t>
      </w:r>
    </w:p>
    <w:bookmarkEnd w:id="5"/>
    <w:p w14:paraId="2A310631" w14:textId="77777777" w:rsidR="00D86C5F" w:rsidRDefault="00D86C5F" w:rsidP="00D86C5F">
      <w:pPr>
        <w:spacing w:after="0" w:line="240" w:lineRule="auto"/>
        <w:ind w:right="774"/>
        <w:contextualSpacing/>
        <w:jc w:val="center"/>
      </w:pPr>
    </w:p>
    <w:p w14:paraId="5E8A29E5" w14:textId="03C2703A" w:rsidR="00D86C5F" w:rsidRPr="00D86C5F" w:rsidRDefault="00D86C5F" w:rsidP="00D86C5F">
      <w:pPr>
        <w:spacing w:after="0" w:line="240" w:lineRule="auto"/>
        <w:ind w:right="774"/>
        <w:contextualSpacing/>
        <w:jc w:val="center"/>
      </w:pPr>
      <w:r>
        <w:t>###</w:t>
      </w:r>
    </w:p>
    <w:sectPr w:rsidR="00D86C5F" w:rsidRPr="00D86C5F" w:rsidSect="00CA58AA">
      <w:footerReference w:type="defaul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7A5D" w14:textId="77777777" w:rsidR="00975EAD" w:rsidRDefault="00975EAD" w:rsidP="00D65035">
      <w:pPr>
        <w:spacing w:after="0" w:line="240" w:lineRule="auto"/>
      </w:pPr>
      <w:r>
        <w:separator/>
      </w:r>
    </w:p>
  </w:endnote>
  <w:endnote w:type="continuationSeparator" w:id="0">
    <w:p w14:paraId="41C6DB0E" w14:textId="77777777" w:rsidR="00975EAD" w:rsidRDefault="00975EAD" w:rsidP="00D6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w:altName w:val="Arial"/>
    <w:panose1 w:val="020B0604020202020204"/>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26B" w14:textId="047846F0" w:rsidR="00D65035" w:rsidRDefault="00D65035" w:rsidP="00D86C5F">
    <w:pPr>
      <w:pStyle w:val="Footer"/>
    </w:pPr>
  </w:p>
  <w:p w14:paraId="3B22DB44" w14:textId="77777777" w:rsidR="00D65035" w:rsidRDefault="00D6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5366" w14:textId="77777777" w:rsidR="00975EAD" w:rsidRDefault="00975EAD" w:rsidP="00D65035">
      <w:pPr>
        <w:spacing w:after="0" w:line="240" w:lineRule="auto"/>
      </w:pPr>
      <w:r>
        <w:separator/>
      </w:r>
    </w:p>
  </w:footnote>
  <w:footnote w:type="continuationSeparator" w:id="0">
    <w:p w14:paraId="0A157A4A" w14:textId="77777777" w:rsidR="00975EAD" w:rsidRDefault="00975EAD" w:rsidP="00D65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3F5"/>
    <w:multiLevelType w:val="hybridMultilevel"/>
    <w:tmpl w:val="C35A0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B2686"/>
    <w:multiLevelType w:val="hybridMultilevel"/>
    <w:tmpl w:val="E2AA5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 w15:restartNumberingAfterBreak="0">
    <w:nsid w:val="1CE77E27"/>
    <w:multiLevelType w:val="hybridMultilevel"/>
    <w:tmpl w:val="C7D84952"/>
    <w:lvl w:ilvl="0" w:tplc="5EF6715E">
      <w:numFmt w:val="bullet"/>
      <w:lvlText w:val="-"/>
      <w:lvlJc w:val="left"/>
      <w:pPr>
        <w:ind w:left="1140" w:hanging="360"/>
      </w:pPr>
      <w:rPr>
        <w:rFonts w:ascii="Segoe UI" w:eastAsiaTheme="minorHAnsi" w:hAnsi="Segoe UI" w:cs="Segoe U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43E266FC"/>
    <w:multiLevelType w:val="hybridMultilevel"/>
    <w:tmpl w:val="1FC4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836965">
    <w:abstractNumId w:val="2"/>
  </w:num>
  <w:num w:numId="2" w16cid:durableId="1845895236">
    <w:abstractNumId w:val="1"/>
  </w:num>
  <w:num w:numId="3" w16cid:durableId="1726098172">
    <w:abstractNumId w:val="3"/>
  </w:num>
  <w:num w:numId="4" w16cid:durableId="111078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1E"/>
    <w:rsid w:val="0007351C"/>
    <w:rsid w:val="000E0270"/>
    <w:rsid w:val="00110817"/>
    <w:rsid w:val="001852FC"/>
    <w:rsid w:val="001A71FA"/>
    <w:rsid w:val="00251DFF"/>
    <w:rsid w:val="00266D7D"/>
    <w:rsid w:val="002803A8"/>
    <w:rsid w:val="00283E98"/>
    <w:rsid w:val="002D77C7"/>
    <w:rsid w:val="002E6D0C"/>
    <w:rsid w:val="003269C6"/>
    <w:rsid w:val="00354128"/>
    <w:rsid w:val="0035448B"/>
    <w:rsid w:val="00391CCA"/>
    <w:rsid w:val="003A190D"/>
    <w:rsid w:val="003D139E"/>
    <w:rsid w:val="00420FE7"/>
    <w:rsid w:val="004F2470"/>
    <w:rsid w:val="00514924"/>
    <w:rsid w:val="005239A0"/>
    <w:rsid w:val="005A0248"/>
    <w:rsid w:val="006017E6"/>
    <w:rsid w:val="00602DE1"/>
    <w:rsid w:val="00613C4A"/>
    <w:rsid w:val="00646F4F"/>
    <w:rsid w:val="006B4C1B"/>
    <w:rsid w:val="006D0FDA"/>
    <w:rsid w:val="006E597A"/>
    <w:rsid w:val="00752B97"/>
    <w:rsid w:val="00753AAC"/>
    <w:rsid w:val="00761503"/>
    <w:rsid w:val="00770069"/>
    <w:rsid w:val="0079719E"/>
    <w:rsid w:val="007A2596"/>
    <w:rsid w:val="007C6E61"/>
    <w:rsid w:val="007D6583"/>
    <w:rsid w:val="00860480"/>
    <w:rsid w:val="00863783"/>
    <w:rsid w:val="008879BC"/>
    <w:rsid w:val="008B7272"/>
    <w:rsid w:val="008B7799"/>
    <w:rsid w:val="008C4BAB"/>
    <w:rsid w:val="008F0BD9"/>
    <w:rsid w:val="00975EAD"/>
    <w:rsid w:val="00A2221C"/>
    <w:rsid w:val="00A26D63"/>
    <w:rsid w:val="00AA10F7"/>
    <w:rsid w:val="00B17C7C"/>
    <w:rsid w:val="00B3511A"/>
    <w:rsid w:val="00B745F4"/>
    <w:rsid w:val="00B754B4"/>
    <w:rsid w:val="00B81813"/>
    <w:rsid w:val="00B971BF"/>
    <w:rsid w:val="00C13C40"/>
    <w:rsid w:val="00C16615"/>
    <w:rsid w:val="00CA58AA"/>
    <w:rsid w:val="00CC51B2"/>
    <w:rsid w:val="00CF52A0"/>
    <w:rsid w:val="00D425F6"/>
    <w:rsid w:val="00D65035"/>
    <w:rsid w:val="00D7741E"/>
    <w:rsid w:val="00D86C5F"/>
    <w:rsid w:val="00DD5F69"/>
    <w:rsid w:val="00DE7505"/>
    <w:rsid w:val="00E40D1B"/>
    <w:rsid w:val="00E907B7"/>
    <w:rsid w:val="00E95659"/>
    <w:rsid w:val="00F01C51"/>
    <w:rsid w:val="00F37262"/>
    <w:rsid w:val="00F72B52"/>
    <w:rsid w:val="00FC1E62"/>
    <w:rsid w:val="00FE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2686"/>
  <w15:chartTrackingRefBased/>
  <w15:docId w15:val="{075FDC13-B6B1-4243-B5EA-12ACE65E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4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6D63"/>
    <w:pPr>
      <w:ind w:left="720"/>
      <w:contextualSpacing/>
    </w:pPr>
  </w:style>
  <w:style w:type="paragraph" w:styleId="Header">
    <w:name w:val="header"/>
    <w:basedOn w:val="Normal"/>
    <w:link w:val="HeaderChar"/>
    <w:uiPriority w:val="99"/>
    <w:unhideWhenUsed/>
    <w:rsid w:val="00D65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035"/>
  </w:style>
  <w:style w:type="paragraph" w:styleId="Footer">
    <w:name w:val="footer"/>
    <w:basedOn w:val="Normal"/>
    <w:link w:val="FooterChar"/>
    <w:uiPriority w:val="99"/>
    <w:unhideWhenUsed/>
    <w:rsid w:val="00D6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035"/>
  </w:style>
  <w:style w:type="paragraph" w:styleId="Subtitle">
    <w:name w:val="Subtitle"/>
    <w:basedOn w:val="Normal"/>
    <w:next w:val="Normal"/>
    <w:link w:val="SubtitleChar"/>
    <w:qFormat/>
    <w:rsid w:val="00D86C5F"/>
    <w:pPr>
      <w:numPr>
        <w:ilvl w:val="1"/>
      </w:numPr>
      <w:spacing w:line="240" w:lineRule="auto"/>
    </w:pPr>
    <w:rPr>
      <w:rFonts w:eastAsiaTheme="majorEastAsia" w:cstheme="majorBidi"/>
      <w:color w:val="0CA5E6" w:themeColor="text1" w:themeTint="A6"/>
      <w:spacing w:val="15"/>
      <w:kern w:val="2"/>
      <w:sz w:val="28"/>
      <w:szCs w:val="28"/>
      <w14:ligatures w14:val="standardContextual"/>
    </w:rPr>
  </w:style>
  <w:style w:type="character" w:customStyle="1" w:styleId="SubtitleChar">
    <w:name w:val="Subtitle Char"/>
    <w:basedOn w:val="DefaultParagraphFont"/>
    <w:link w:val="Subtitle"/>
    <w:rsid w:val="00D86C5F"/>
    <w:rPr>
      <w:rFonts w:eastAsiaTheme="majorEastAsia" w:cstheme="majorBidi"/>
      <w:color w:val="0CA5E6" w:themeColor="text1" w:themeTint="A6"/>
      <w:spacing w:val="15"/>
      <w:kern w:val="2"/>
      <w:sz w:val="28"/>
      <w:szCs w:val="28"/>
      <w14:ligatures w14:val="standardContextual"/>
    </w:rPr>
  </w:style>
  <w:style w:type="character" w:styleId="Hyperlink">
    <w:name w:val="Hyperlink"/>
    <w:basedOn w:val="DefaultParagraphFont"/>
    <w:uiPriority w:val="99"/>
    <w:unhideWhenUsed/>
    <w:rsid w:val="00D86C5F"/>
    <w:rPr>
      <w:color w:val="05445E" w:themeColor="hyperlink"/>
      <w:u w:val="single"/>
    </w:rPr>
  </w:style>
  <w:style w:type="paragraph" w:styleId="FootnoteText">
    <w:name w:val="footnote text"/>
    <w:basedOn w:val="Normal"/>
    <w:link w:val="FootnoteTextChar"/>
    <w:uiPriority w:val="99"/>
    <w:semiHidden/>
    <w:unhideWhenUsed/>
    <w:rsid w:val="00D86C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C5F"/>
    <w:rPr>
      <w:sz w:val="20"/>
      <w:szCs w:val="20"/>
    </w:rPr>
  </w:style>
  <w:style w:type="character" w:styleId="FootnoteReference">
    <w:name w:val="footnote reference"/>
    <w:basedOn w:val="DefaultParagraphFont"/>
    <w:uiPriority w:val="99"/>
    <w:semiHidden/>
    <w:unhideWhenUsed/>
    <w:rsid w:val="00D86C5F"/>
    <w:rPr>
      <w:vertAlign w:val="superscript"/>
    </w:rPr>
  </w:style>
  <w:style w:type="character" w:styleId="UnresolvedMention">
    <w:name w:val="Unresolved Mention"/>
    <w:basedOn w:val="DefaultParagraphFont"/>
    <w:uiPriority w:val="99"/>
    <w:semiHidden/>
    <w:unhideWhenUsed/>
    <w:rsid w:val="00D8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acon.com/" TargetMode="External"/><Relationship Id="rId13" Type="http://schemas.openxmlformats.org/officeDocument/2006/relationships/hyperlink" Target="https://tru-vu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ubeliteus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etec.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fcocorp.com/" TargetMode="External"/><Relationship Id="rId4" Type="http://schemas.openxmlformats.org/officeDocument/2006/relationships/webSettings" Target="webSettings.xml"/><Relationship Id="rId9" Type="http://schemas.openxmlformats.org/officeDocument/2006/relationships/hyperlink" Target="https://alumicor.com/" TargetMode="External"/><Relationship Id="rId14" Type="http://schemas.openxmlformats.org/officeDocument/2006/relationships/hyperlink" Target="https://www.apog.com" TargetMode="External"/></Relationships>
</file>

<file path=word/theme/theme1.xml><?xml version="1.0" encoding="utf-8"?>
<a:theme xmlns:a="http://schemas.openxmlformats.org/drawingml/2006/main" name="Office Theme">
  <a:themeElements>
    <a:clrScheme name="Apogee Corporate">
      <a:dk1>
        <a:srgbClr val="05445E"/>
      </a:dk1>
      <a:lt1>
        <a:srgbClr val="FFFFFF"/>
      </a:lt1>
      <a:dk2>
        <a:srgbClr val="7EB9D5"/>
      </a:dk2>
      <a:lt2>
        <a:srgbClr val="D5D7D8"/>
      </a:lt2>
      <a:accent1>
        <a:srgbClr val="737373"/>
      </a:accent1>
      <a:accent2>
        <a:srgbClr val="5EA9A7"/>
      </a:accent2>
      <a:accent3>
        <a:srgbClr val="B3EAEF"/>
      </a:accent3>
      <a:accent4>
        <a:srgbClr val="C4DBE0"/>
      </a:accent4>
      <a:accent5>
        <a:srgbClr val="B8C3C4"/>
      </a:accent5>
      <a:accent6>
        <a:srgbClr val="7EB9D5"/>
      </a:accent6>
      <a:hlink>
        <a:srgbClr val="05445E"/>
      </a:hlink>
      <a:folHlink>
        <a:srgbClr val="05445E"/>
      </a:folHlink>
    </a:clrScheme>
    <a:fontScheme name="Apogee Corporate">
      <a:majorFont>
        <a:latin typeface="Roboto Slab"/>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Huebschen, Jeffrey</dc:creator>
  <cp:keywords/>
  <dc:description/>
  <cp:lastModifiedBy>Heather West</cp:lastModifiedBy>
  <cp:revision>3</cp:revision>
  <dcterms:created xsi:type="dcterms:W3CDTF">2024-06-21T20:43:00Z</dcterms:created>
  <dcterms:modified xsi:type="dcterms:W3CDTF">2024-06-21T20:47:00Z</dcterms:modified>
</cp:coreProperties>
</file>