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6EEB43D8" w:rsidR="00305DAD" w:rsidRPr="00D9258D" w:rsidRDefault="008406CF" w:rsidP="00305DAD">
      <w:pPr>
        <w:pStyle w:val="Title"/>
        <w:jc w:val="right"/>
        <w:rPr>
          <w:b w:val="0"/>
          <w:sz w:val="24"/>
          <w:szCs w:val="24"/>
        </w:rPr>
      </w:pPr>
      <w:r>
        <w:rPr>
          <w:b w:val="0"/>
          <w:sz w:val="24"/>
          <w:szCs w:val="24"/>
          <w:highlight w:val="yellow"/>
        </w:rPr>
        <w:t>May 1, 2024</w:t>
      </w:r>
    </w:p>
    <w:p w14:paraId="71E31F7C" w14:textId="77777777" w:rsidR="00305DAD" w:rsidRPr="00D9258D" w:rsidRDefault="00305DAD" w:rsidP="00305DAD">
      <w:pPr>
        <w:pStyle w:val="Title"/>
        <w:jc w:val="right"/>
        <w:rPr>
          <w:b w:val="0"/>
          <w:sz w:val="18"/>
          <w:szCs w:val="18"/>
        </w:rPr>
      </w:pPr>
    </w:p>
    <w:p w14:paraId="313BBC9A" w14:textId="6A4693AE" w:rsidR="00305DAD" w:rsidRPr="00D9258D" w:rsidRDefault="008406CF" w:rsidP="0038384C">
      <w:pPr>
        <w:pStyle w:val="Title"/>
        <w:spacing w:after="240"/>
        <w:rPr>
          <w:color w:val="auto"/>
        </w:rPr>
      </w:pPr>
      <w:r w:rsidRPr="008406CF">
        <w:rPr>
          <w:color w:val="auto"/>
        </w:rPr>
        <w:t xml:space="preserve">FGIA </w:t>
      </w:r>
      <w:r w:rsidR="004743FC" w:rsidRPr="008406CF">
        <w:rPr>
          <w:color w:val="auto"/>
        </w:rPr>
        <w:t xml:space="preserve">2024 </w:t>
      </w:r>
      <w:r w:rsidRPr="008406CF">
        <w:rPr>
          <w:color w:val="auto"/>
        </w:rPr>
        <w:t>Summer Conference Speakers to Highlight Building Design</w:t>
      </w:r>
      <w:r w:rsidR="00B7142F">
        <w:rPr>
          <w:color w:val="auto"/>
        </w:rPr>
        <w:t xml:space="preserve"> Testing, Challenges and Legislation</w:t>
      </w:r>
    </w:p>
    <w:p w14:paraId="270FE97B" w14:textId="7D259B98" w:rsidR="007D091F" w:rsidRDefault="00A41F02" w:rsidP="00FC0D8D">
      <w:pPr>
        <w:rPr>
          <w:szCs w:val="22"/>
        </w:rPr>
      </w:pPr>
      <w:bookmarkStart w:id="0" w:name="_Hlk165032610"/>
      <w:r w:rsidRPr="000C457B">
        <w:rPr>
          <w:szCs w:val="22"/>
        </w:rPr>
        <w:t xml:space="preserve">SCHAUMBURG, IL </w:t>
      </w:r>
      <w:r w:rsidR="00723E5F" w:rsidRPr="000C457B">
        <w:rPr>
          <w:szCs w:val="22"/>
        </w:rPr>
        <w:t>–</w:t>
      </w:r>
      <w:r w:rsidR="005C7D7D" w:rsidRPr="000C457B">
        <w:rPr>
          <w:szCs w:val="22"/>
        </w:rPr>
        <w:t xml:space="preserve"> </w:t>
      </w:r>
      <w:r w:rsidR="008406CF" w:rsidRPr="000C457B">
        <w:rPr>
          <w:szCs w:val="22"/>
        </w:rPr>
        <w:t xml:space="preserve">Speakers at the </w:t>
      </w:r>
      <w:r w:rsidR="00F13E41" w:rsidRPr="000C457B">
        <w:rPr>
          <w:szCs w:val="22"/>
        </w:rPr>
        <w:t xml:space="preserve">Fenestration </w:t>
      </w:r>
      <w:r w:rsidR="00917314" w:rsidRPr="000C457B">
        <w:rPr>
          <w:szCs w:val="22"/>
        </w:rPr>
        <w:t>and</w:t>
      </w:r>
      <w:r w:rsidR="00F13E41" w:rsidRPr="000C457B">
        <w:rPr>
          <w:szCs w:val="22"/>
        </w:rPr>
        <w:t xml:space="preserve"> Glazing Industry Alliance (FGIA) </w:t>
      </w:r>
      <w:r w:rsidR="004743FC" w:rsidRPr="000C457B">
        <w:rPr>
          <w:szCs w:val="22"/>
        </w:rPr>
        <w:t xml:space="preserve">2024 </w:t>
      </w:r>
      <w:r w:rsidR="008406CF" w:rsidRPr="000C457B">
        <w:rPr>
          <w:szCs w:val="22"/>
        </w:rPr>
        <w:t>Summer Conference June 3-6 will share knowledge about various aspects of building design, including</w:t>
      </w:r>
      <w:r w:rsidR="009B59D6" w:rsidRPr="000C457B">
        <w:rPr>
          <w:szCs w:val="22"/>
        </w:rPr>
        <w:t xml:space="preserve"> </w:t>
      </w:r>
      <w:r w:rsidR="000C457B" w:rsidRPr="000C457B">
        <w:rPr>
          <w:szCs w:val="22"/>
        </w:rPr>
        <w:t xml:space="preserve">creating </w:t>
      </w:r>
      <w:r w:rsidR="009B59D6" w:rsidRPr="000C457B">
        <w:rPr>
          <w:szCs w:val="22"/>
        </w:rPr>
        <w:t>natural disaster-</w:t>
      </w:r>
      <w:r w:rsidR="000C457B" w:rsidRPr="000C457B">
        <w:rPr>
          <w:szCs w:val="22"/>
        </w:rPr>
        <w:t>resilient</w:t>
      </w:r>
      <w:r w:rsidR="009B59D6" w:rsidRPr="000C457B">
        <w:rPr>
          <w:szCs w:val="22"/>
        </w:rPr>
        <w:t xml:space="preserve"> buildings,</w:t>
      </w:r>
      <w:r w:rsidR="008406CF" w:rsidRPr="000C457B">
        <w:rPr>
          <w:szCs w:val="22"/>
        </w:rPr>
        <w:t xml:space="preserve"> </w:t>
      </w:r>
      <w:r w:rsidR="000C457B" w:rsidRPr="000C457B">
        <w:rPr>
          <w:szCs w:val="22"/>
        </w:rPr>
        <w:t>how façade design can heighten architectural appea</w:t>
      </w:r>
      <w:r w:rsidR="004743FC">
        <w:rPr>
          <w:szCs w:val="22"/>
        </w:rPr>
        <w:t>l</w:t>
      </w:r>
      <w:r w:rsidR="000C457B" w:rsidRPr="000C457B">
        <w:rPr>
          <w:szCs w:val="22"/>
        </w:rPr>
        <w:t xml:space="preserve"> and what the industry can expect when it comes to embodied carbon legislation. Register now for the 2024 FGIA Summer Conference </w:t>
      </w:r>
      <w:hyperlink r:id="rId10" w:history="1">
        <w:r w:rsidR="000C457B" w:rsidRPr="000C457B">
          <w:rPr>
            <w:rStyle w:val="Hyperlink"/>
            <w:sz w:val="22"/>
            <w:szCs w:val="22"/>
          </w:rPr>
          <w:t>in-person event</w:t>
        </w:r>
      </w:hyperlink>
      <w:r w:rsidR="000C457B" w:rsidRPr="000C457B">
        <w:rPr>
          <w:szCs w:val="22"/>
        </w:rPr>
        <w:t xml:space="preserve"> or for the </w:t>
      </w:r>
      <w:hyperlink r:id="rId11" w:history="1">
        <w:r w:rsidR="000C457B" w:rsidRPr="000C457B">
          <w:rPr>
            <w:rStyle w:val="Hyperlink"/>
            <w:sz w:val="22"/>
            <w:szCs w:val="22"/>
          </w:rPr>
          <w:t>virtual experience</w:t>
        </w:r>
      </w:hyperlink>
      <w:r w:rsidR="000C457B" w:rsidRPr="000C457B">
        <w:rPr>
          <w:szCs w:val="22"/>
        </w:rPr>
        <w:t xml:space="preserve">. </w:t>
      </w:r>
    </w:p>
    <w:p w14:paraId="70ECA6F1" w14:textId="701E922E" w:rsidR="00EF5C45" w:rsidRDefault="00EF5C45" w:rsidP="00FC0D8D">
      <w:pPr>
        <w:rPr>
          <w:szCs w:val="22"/>
        </w:rPr>
      </w:pPr>
      <w:r>
        <w:rPr>
          <w:szCs w:val="22"/>
        </w:rPr>
        <w:t>“</w:t>
      </w:r>
      <w:r w:rsidR="00681C73">
        <w:t>At every conference, we focus on covering the latest industry insights with notable subject matter experts</w:t>
      </w:r>
      <w:r>
        <w:rPr>
          <w:szCs w:val="22"/>
        </w:rPr>
        <w:t>,” said Florica Vlad, FGIA Events Manager. “</w:t>
      </w:r>
      <w:r w:rsidR="00681C73">
        <w:t xml:space="preserve">The </w:t>
      </w:r>
      <w:r w:rsidR="00A12619">
        <w:t xml:space="preserve">experts addressing </w:t>
      </w:r>
      <w:r w:rsidR="00681C73">
        <w:t xml:space="preserve">building design </w:t>
      </w:r>
      <w:r w:rsidR="00A12619">
        <w:t xml:space="preserve">are just </w:t>
      </w:r>
      <w:r w:rsidR="00681C73">
        <w:t xml:space="preserve">a glimpse of the exceptional lineup of speakers that we will have at </w:t>
      </w:r>
      <w:r w:rsidR="00A12619">
        <w:t>our Summer Conference</w:t>
      </w:r>
      <w:r w:rsidR="00681C73">
        <w:t xml:space="preserve">. </w:t>
      </w:r>
      <w:r>
        <w:rPr>
          <w:szCs w:val="22"/>
        </w:rPr>
        <w:t xml:space="preserve">Take a look at the </w:t>
      </w:r>
      <w:hyperlink r:id="rId12" w:history="1">
        <w:r w:rsidRPr="00EF5C45">
          <w:rPr>
            <w:rStyle w:val="Hyperlink"/>
            <w:sz w:val="22"/>
            <w:szCs w:val="22"/>
          </w:rPr>
          <w:t>conference schedule</w:t>
        </w:r>
      </w:hyperlink>
      <w:r>
        <w:rPr>
          <w:szCs w:val="22"/>
        </w:rPr>
        <w:t xml:space="preserve"> </w:t>
      </w:r>
      <w:r w:rsidR="00681C73">
        <w:rPr>
          <w:szCs w:val="22"/>
        </w:rPr>
        <w:t>to see what</w:t>
      </w:r>
      <w:r w:rsidR="00A12619">
        <w:rPr>
          <w:szCs w:val="22"/>
        </w:rPr>
        <w:t xml:space="preserve"> other industry speakers, education sessions and committee meetings</w:t>
      </w:r>
      <w:r w:rsidR="00681C73">
        <w:rPr>
          <w:szCs w:val="22"/>
        </w:rPr>
        <w:t xml:space="preserve"> we have planned</w:t>
      </w:r>
      <w:r>
        <w:rPr>
          <w:szCs w:val="22"/>
        </w:rPr>
        <w:t xml:space="preserve">.” </w:t>
      </w:r>
    </w:p>
    <w:bookmarkEnd w:id="0"/>
    <w:p w14:paraId="088CDAB5" w14:textId="77777777" w:rsidR="009B59D6" w:rsidRPr="000C457B" w:rsidRDefault="009B59D6" w:rsidP="009B59D6">
      <w:pPr>
        <w:rPr>
          <w:b/>
          <w:bCs/>
          <w:szCs w:val="22"/>
        </w:rPr>
      </w:pPr>
      <w:r w:rsidRPr="000C457B">
        <w:rPr>
          <w:b/>
          <w:bCs/>
          <w:szCs w:val="22"/>
        </w:rPr>
        <w:t>Natural Disasters | Standards and Testing</w:t>
      </w:r>
    </w:p>
    <w:p w14:paraId="1EAF0DEC" w14:textId="7FED2AE2" w:rsidR="009B59D6" w:rsidRPr="000C457B" w:rsidRDefault="009B59D6" w:rsidP="009B59D6">
      <w:pPr>
        <w:rPr>
          <w:szCs w:val="22"/>
        </w:rPr>
      </w:pPr>
      <w:r w:rsidRPr="000C457B">
        <w:rPr>
          <w:szCs w:val="22"/>
        </w:rPr>
        <w:t>On Tuesday morning, Tanya Dolby (</w:t>
      </w:r>
      <w:hyperlink r:id="rId13" w:history="1">
        <w:r w:rsidRPr="00A5065A">
          <w:rPr>
            <w:rStyle w:val="Hyperlink"/>
            <w:sz w:val="22"/>
            <w:szCs w:val="22"/>
          </w:rPr>
          <w:t>Intertek</w:t>
        </w:r>
      </w:hyperlink>
      <w:r w:rsidRPr="000C457B">
        <w:rPr>
          <w:szCs w:val="22"/>
        </w:rPr>
        <w:t>) will present an Intertek sponsored seminar called “Natural Disaster Standards and Testing.” Join this presentation to learn about the history of natural disaster events and discover the relevant codes, standards and testing relating to hurricanes, tornado</w:t>
      </w:r>
      <w:r w:rsidR="004743FC">
        <w:rPr>
          <w:szCs w:val="22"/>
        </w:rPr>
        <w:t>e</w:t>
      </w:r>
      <w:r w:rsidRPr="000C457B">
        <w:rPr>
          <w:szCs w:val="22"/>
        </w:rPr>
        <w:t xml:space="preserve">s, floodings and earthquakes that contribute to increasing building resiliency. This timely presentation will leave participants feeling more prepared and confident in moving forward with protecting against extreme weather conditions. Dolby has more </w:t>
      </w:r>
      <w:r w:rsidR="000C457B" w:rsidRPr="000C457B">
        <w:rPr>
          <w:szCs w:val="22"/>
        </w:rPr>
        <w:t>than</w:t>
      </w:r>
      <w:r w:rsidRPr="000C457B">
        <w:rPr>
          <w:szCs w:val="22"/>
        </w:rPr>
        <w:t xml:space="preserve"> 30 years of experience working closely in many facets of the fenestration business. </w:t>
      </w:r>
    </w:p>
    <w:p w14:paraId="3DE3C546" w14:textId="77777777" w:rsidR="009B59D6" w:rsidRPr="000C457B" w:rsidRDefault="009B59D6" w:rsidP="009B59D6">
      <w:pPr>
        <w:rPr>
          <w:b/>
          <w:bCs/>
          <w:szCs w:val="22"/>
        </w:rPr>
      </w:pPr>
      <w:r w:rsidRPr="000C457B">
        <w:rPr>
          <w:b/>
          <w:bCs/>
          <w:szCs w:val="22"/>
        </w:rPr>
        <w:t>Façade Systems and Architecture</w:t>
      </w:r>
    </w:p>
    <w:p w14:paraId="6613E7AB" w14:textId="2C3C238D" w:rsidR="009B59D6" w:rsidRPr="000C457B" w:rsidRDefault="009B59D6" w:rsidP="009B59D6">
      <w:pPr>
        <w:rPr>
          <w:szCs w:val="22"/>
        </w:rPr>
      </w:pPr>
      <w:r w:rsidRPr="000C457B">
        <w:rPr>
          <w:szCs w:val="22"/>
        </w:rPr>
        <w:t>On Wednesday morning, David Vadocz (</w:t>
      </w:r>
      <w:hyperlink r:id="rId14" w:history="1">
        <w:r w:rsidRPr="00A5065A">
          <w:rPr>
            <w:rStyle w:val="Hyperlink"/>
            <w:sz w:val="22"/>
            <w:szCs w:val="22"/>
          </w:rPr>
          <w:t>RDH Building Science Inc.</w:t>
        </w:r>
      </w:hyperlink>
      <w:r w:rsidRPr="000C457B">
        <w:rPr>
          <w:szCs w:val="22"/>
        </w:rPr>
        <w:t xml:space="preserve">) will present “Selecting Façade Systems for Iconic Building Architecture” using a recent case study as an example. Designed in 1976 by the late BC architect Arthur Erickson, the University of British Columbia Museum of Anthropology building was determined to have a high level of seismic risk in 2017. Learn about the modern structural glass façade and skylight </w:t>
      </w:r>
      <w:r w:rsidRPr="000C457B">
        <w:rPr>
          <w:szCs w:val="22"/>
        </w:rPr>
        <w:lastRenderedPageBreak/>
        <w:t xml:space="preserve">replacement completed to preserve the integrity of this glass-paned historic building and </w:t>
      </w:r>
      <w:r w:rsidR="00B7142F">
        <w:rPr>
          <w:szCs w:val="22"/>
        </w:rPr>
        <w:t>discover</w:t>
      </w:r>
      <w:r w:rsidR="00B7142F" w:rsidRPr="000C457B">
        <w:rPr>
          <w:szCs w:val="22"/>
        </w:rPr>
        <w:t xml:space="preserve"> </w:t>
      </w:r>
      <w:r w:rsidRPr="000C457B">
        <w:rPr>
          <w:szCs w:val="22"/>
        </w:rPr>
        <w:t xml:space="preserve">how unique glass structural challenges were overcome to make an architect and owner’s dream come true. Vadocz is a trusted consultant on all </w:t>
      </w:r>
      <w:r w:rsidR="00B7142F">
        <w:rPr>
          <w:szCs w:val="22"/>
        </w:rPr>
        <w:t>aspects of</w:t>
      </w:r>
      <w:r w:rsidR="00B7142F" w:rsidRPr="000C457B">
        <w:rPr>
          <w:szCs w:val="22"/>
        </w:rPr>
        <w:t xml:space="preserve"> </w:t>
      </w:r>
      <w:r w:rsidRPr="000C457B">
        <w:rPr>
          <w:szCs w:val="22"/>
        </w:rPr>
        <w:t>glass, providing his professional knowledge</w:t>
      </w:r>
      <w:r w:rsidRPr="000C457B">
        <w:rPr>
          <w:b/>
          <w:bCs/>
          <w:szCs w:val="22"/>
        </w:rPr>
        <w:t xml:space="preserve"> </w:t>
      </w:r>
      <w:r w:rsidRPr="000C457B">
        <w:rPr>
          <w:szCs w:val="22"/>
        </w:rPr>
        <w:t>to manufacturers, glazing contractors and architects.</w:t>
      </w:r>
    </w:p>
    <w:p w14:paraId="2CAA8A85" w14:textId="27A1159F" w:rsidR="003F3D28" w:rsidRPr="000C457B" w:rsidRDefault="00A520DB" w:rsidP="003F3D28">
      <w:pPr>
        <w:rPr>
          <w:b/>
          <w:bCs/>
          <w:szCs w:val="22"/>
        </w:rPr>
      </w:pPr>
      <w:r w:rsidRPr="000C457B">
        <w:rPr>
          <w:b/>
          <w:bCs/>
          <w:szCs w:val="22"/>
        </w:rPr>
        <w:t>Legislation for Embodied Carbon</w:t>
      </w:r>
    </w:p>
    <w:p w14:paraId="3DA45C7D" w14:textId="3C95E591" w:rsidR="00A520DB" w:rsidRPr="000C457B" w:rsidRDefault="00A520DB" w:rsidP="00A520DB">
      <w:pPr>
        <w:rPr>
          <w:szCs w:val="22"/>
        </w:rPr>
      </w:pPr>
      <w:r w:rsidRPr="000C457B">
        <w:rPr>
          <w:szCs w:val="22"/>
        </w:rPr>
        <w:t>On Wednesday afternoon, Dr. Kayla Natividad (</w:t>
      </w:r>
      <w:hyperlink r:id="rId15" w:history="1">
        <w:r w:rsidRPr="00A5065A">
          <w:rPr>
            <w:rStyle w:val="Hyperlink"/>
            <w:sz w:val="22"/>
            <w:szCs w:val="22"/>
          </w:rPr>
          <w:t>Pilkington North America</w:t>
        </w:r>
      </w:hyperlink>
      <w:r w:rsidRPr="000C457B">
        <w:rPr>
          <w:szCs w:val="22"/>
        </w:rPr>
        <w:t xml:space="preserve">) will lead a session </w:t>
      </w:r>
      <w:r w:rsidR="00B7142F">
        <w:rPr>
          <w:szCs w:val="22"/>
        </w:rPr>
        <w:t>entitled</w:t>
      </w:r>
      <w:r w:rsidRPr="000C457B">
        <w:rPr>
          <w:szCs w:val="22"/>
        </w:rPr>
        <w:t xml:space="preserve"> “Embodied Carbon in U.S. and Canadian Legislation.” </w:t>
      </w:r>
      <w:r w:rsidRPr="000C457B">
        <w:rPr>
          <w:rFonts w:eastAsia="Arial Black"/>
          <w:szCs w:val="22"/>
        </w:rPr>
        <w:t>This session will discuss embodied carbon in legislation. Learn the differences among flat glass, processed glass and fenestration assembly product category rules (PCRs), which are being specified in legislation. Participants will also learn the differences in key forms of embodied carbon policies like Buy Clean policy, climate action plans and zoning policy.</w:t>
      </w:r>
      <w:r w:rsidRPr="000C457B">
        <w:rPr>
          <w:szCs w:val="22"/>
        </w:rPr>
        <w:t xml:space="preserve"> Natividad, WELL AP, LEED Green Associate, has been with Pilkington as an Architectural Technical Service Engineer since 2016. A major focus of her work has been directed towards sustainability and green building initiatives. </w:t>
      </w:r>
    </w:p>
    <w:p w14:paraId="7733C9CF" w14:textId="77777777" w:rsidR="000C457B" w:rsidRPr="000C457B" w:rsidRDefault="000C457B" w:rsidP="000C457B">
      <w:pPr>
        <w:rPr>
          <w:b/>
          <w:bCs/>
          <w:szCs w:val="22"/>
        </w:rPr>
      </w:pPr>
      <w:r w:rsidRPr="000C457B">
        <w:rPr>
          <w:b/>
          <w:bCs/>
          <w:szCs w:val="22"/>
        </w:rPr>
        <w:t>In-person Registration</w:t>
      </w:r>
    </w:p>
    <w:p w14:paraId="18D1F6EC" w14:textId="2F2DCD58" w:rsidR="000C457B" w:rsidRPr="000C457B" w:rsidRDefault="000C457B" w:rsidP="000C457B">
      <w:pPr>
        <w:rPr>
          <w:szCs w:val="22"/>
        </w:rPr>
      </w:pPr>
      <w:r w:rsidRPr="000C457B">
        <w:rPr>
          <w:szCs w:val="22"/>
        </w:rPr>
        <w:t xml:space="preserve">FGIA members can take advantage of </w:t>
      </w:r>
      <w:r>
        <w:rPr>
          <w:szCs w:val="22"/>
        </w:rPr>
        <w:t>a</w:t>
      </w:r>
      <w:r w:rsidRPr="000C457B">
        <w:rPr>
          <w:szCs w:val="22"/>
        </w:rPr>
        <w:t>n extended early bird rate of $1,260 through May 13, with registration available at the price of $1,575 after that date. Non-members may register for $1,680. All fees include 5</w:t>
      </w:r>
      <w:r w:rsidR="00B7142F">
        <w:rPr>
          <w:szCs w:val="22"/>
        </w:rPr>
        <w:t xml:space="preserve"> percent</w:t>
      </w:r>
      <w:r w:rsidR="00B7142F" w:rsidRPr="000C457B">
        <w:rPr>
          <w:szCs w:val="22"/>
        </w:rPr>
        <w:t xml:space="preserve"> </w:t>
      </w:r>
      <w:r w:rsidRPr="000C457B">
        <w:rPr>
          <w:szCs w:val="22"/>
        </w:rPr>
        <w:t>Goods and Sales Tax (GST).</w:t>
      </w:r>
    </w:p>
    <w:p w14:paraId="49FA84CA" w14:textId="77777777" w:rsidR="000C457B" w:rsidRPr="000C457B" w:rsidRDefault="000C457B" w:rsidP="000C457B">
      <w:pPr>
        <w:rPr>
          <w:szCs w:val="22"/>
        </w:rPr>
      </w:pPr>
      <w:r w:rsidRPr="000C457B">
        <w:rPr>
          <w:szCs w:val="22"/>
        </w:rPr>
        <w:t>FGIA’s discounted group rate for the hotel will be honored from May 31 to June 6. Those interested in extending their trip for the Grand Prix city-wide event must contact the hotel directly to book separate reservations.</w:t>
      </w:r>
    </w:p>
    <w:p w14:paraId="2AC5170B" w14:textId="77777777" w:rsidR="000C457B" w:rsidRPr="000C457B" w:rsidRDefault="000C457B" w:rsidP="000C457B">
      <w:pPr>
        <w:rPr>
          <w:b/>
          <w:bCs/>
          <w:szCs w:val="22"/>
        </w:rPr>
      </w:pPr>
      <w:r w:rsidRPr="000C457B">
        <w:rPr>
          <w:b/>
          <w:bCs/>
          <w:szCs w:val="22"/>
        </w:rPr>
        <w:t>Virtual Registration</w:t>
      </w:r>
    </w:p>
    <w:p w14:paraId="6611DCC8" w14:textId="1AEDA2EC" w:rsidR="000C457B" w:rsidRPr="000C457B" w:rsidRDefault="000C457B" w:rsidP="000C457B">
      <w:pPr>
        <w:rPr>
          <w:szCs w:val="22"/>
        </w:rPr>
      </w:pPr>
      <w:r w:rsidRPr="000C457B">
        <w:rPr>
          <w:szCs w:val="22"/>
        </w:rPr>
        <w:t>Individual virtual registration for FGIA members will be available at an extended early bird rate of $420</w:t>
      </w:r>
      <w:r>
        <w:rPr>
          <w:szCs w:val="22"/>
        </w:rPr>
        <w:t xml:space="preserve"> </w:t>
      </w:r>
      <w:r w:rsidRPr="000C457B">
        <w:rPr>
          <w:szCs w:val="22"/>
        </w:rPr>
        <w:t xml:space="preserve">through May 13, with registration available at the price of $472.50 after that date. FGIA member companies may register 3-10 participants for </w:t>
      </w:r>
      <w:r>
        <w:rPr>
          <w:szCs w:val="22"/>
        </w:rPr>
        <w:t>a cost of</w:t>
      </w:r>
      <w:r w:rsidRPr="000C457B">
        <w:rPr>
          <w:szCs w:val="22"/>
        </w:rPr>
        <w:t xml:space="preserve"> $997.50 through May 13. The regular cost of a company registration is $1,260. Non-member individuals may register for $1,680. All fees include 5</w:t>
      </w:r>
      <w:r w:rsidR="00B7142F">
        <w:rPr>
          <w:szCs w:val="22"/>
        </w:rPr>
        <w:t xml:space="preserve"> percent</w:t>
      </w:r>
      <w:r w:rsidR="00B7142F" w:rsidRPr="000C457B">
        <w:rPr>
          <w:szCs w:val="22"/>
        </w:rPr>
        <w:t xml:space="preserve"> </w:t>
      </w:r>
      <w:r w:rsidRPr="000C457B">
        <w:rPr>
          <w:szCs w:val="22"/>
        </w:rPr>
        <w:t>GST.</w:t>
      </w:r>
    </w:p>
    <w:p w14:paraId="0025EA58" w14:textId="3B86BE63" w:rsidR="002C156D" w:rsidRPr="000C457B" w:rsidRDefault="00930EA7" w:rsidP="00A520DB">
      <w:pPr>
        <w:rPr>
          <w:szCs w:val="22"/>
        </w:rPr>
      </w:pPr>
      <w:r w:rsidRPr="000C457B">
        <w:rPr>
          <w:szCs w:val="22"/>
        </w:rPr>
        <w:t>For mo</w:t>
      </w:r>
      <w:r w:rsidR="00CE734A" w:rsidRPr="000C457B">
        <w:rPr>
          <w:szCs w:val="22"/>
        </w:rPr>
        <w:t>re information</w:t>
      </w:r>
      <w:r w:rsidR="00917314" w:rsidRPr="000C457B">
        <w:rPr>
          <w:szCs w:val="22"/>
        </w:rPr>
        <w:t xml:space="preserve"> about FGIA and its activities</w:t>
      </w:r>
      <w:r w:rsidR="00F8328B" w:rsidRPr="000C457B">
        <w:rPr>
          <w:szCs w:val="22"/>
        </w:rPr>
        <w:t>,</w:t>
      </w:r>
      <w:r w:rsidR="00CE734A" w:rsidRPr="000C457B">
        <w:rPr>
          <w:szCs w:val="22"/>
        </w:rPr>
        <w:t xml:space="preserve"> </w:t>
      </w:r>
      <w:r w:rsidR="00723E5F" w:rsidRPr="000C457B">
        <w:rPr>
          <w:szCs w:val="22"/>
        </w:rPr>
        <w:t>visit</w:t>
      </w:r>
      <w:r w:rsidR="00F526AA" w:rsidRPr="000C457B">
        <w:rPr>
          <w:szCs w:val="22"/>
        </w:rPr>
        <w:t xml:space="preserve"> </w:t>
      </w:r>
      <w:hyperlink r:id="rId16" w:history="1">
        <w:r w:rsidR="007A3F22" w:rsidRPr="000C457B">
          <w:rPr>
            <w:rStyle w:val="Hyperlink"/>
            <w:sz w:val="22"/>
            <w:szCs w:val="22"/>
          </w:rPr>
          <w:t>FGIAonline.org</w:t>
        </w:r>
      </w:hyperlink>
      <w:r w:rsidR="00F13E41" w:rsidRPr="000C457B">
        <w:rPr>
          <w:szCs w:val="22"/>
        </w:rPr>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7"/>
      <w:footerReference w:type="default" r:id="rId1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D2C96" w14:textId="77777777" w:rsidR="00A12619" w:rsidRDefault="00A12619" w:rsidP="00305DAD">
    <w:pPr>
      <w:pStyle w:val="Footer"/>
      <w:jc w:val="center"/>
      <w:rPr>
        <w:rFonts w:ascii="Arial" w:hAnsi="Arial" w:cs="Arial"/>
        <w:bCs/>
      </w:rPr>
    </w:pPr>
  </w:p>
  <w:p w14:paraId="19FB79AF" w14:textId="0BA2C3C6"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136B854">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1"/>
  </w:num>
  <w:num w:numId="3" w16cid:durableId="2017417357">
    <w:abstractNumId w:val="6"/>
  </w:num>
  <w:num w:numId="4" w16cid:durableId="1391268474">
    <w:abstractNumId w:val="2"/>
  </w:num>
  <w:num w:numId="5" w16cid:durableId="1773815073">
    <w:abstractNumId w:val="10"/>
  </w:num>
  <w:num w:numId="6" w16cid:durableId="396899400">
    <w:abstractNumId w:val="0"/>
  </w:num>
  <w:num w:numId="7" w16cid:durableId="73597612">
    <w:abstractNumId w:val="3"/>
  </w:num>
  <w:num w:numId="8" w16cid:durableId="1853953106">
    <w:abstractNumId w:val="1"/>
  </w:num>
  <w:num w:numId="9" w16cid:durableId="2075085138">
    <w:abstractNumId w:val="5"/>
  </w:num>
  <w:num w:numId="10" w16cid:durableId="1150293424">
    <w:abstractNumId w:val="12"/>
  </w:num>
  <w:num w:numId="11" w16cid:durableId="558713910">
    <w:abstractNumId w:val="7"/>
  </w:num>
  <w:num w:numId="12" w16cid:durableId="170217207">
    <w:abstractNumId w:val="4"/>
  </w:num>
  <w:num w:numId="13" w16cid:durableId="649748747">
    <w:abstractNumId w:val="13"/>
  </w:num>
  <w:num w:numId="14" w16cid:durableId="476531495">
    <w:abstractNumId w:val="8"/>
  </w:num>
  <w:num w:numId="15" w16cid:durableId="18759687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25A4"/>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457B"/>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43FC"/>
    <w:rsid w:val="00476339"/>
    <w:rsid w:val="00476846"/>
    <w:rsid w:val="004777D3"/>
    <w:rsid w:val="00477E93"/>
    <w:rsid w:val="0048328A"/>
    <w:rsid w:val="00486661"/>
    <w:rsid w:val="004907CC"/>
    <w:rsid w:val="00494C61"/>
    <w:rsid w:val="004A05C5"/>
    <w:rsid w:val="004A1526"/>
    <w:rsid w:val="004A6084"/>
    <w:rsid w:val="004B6EC3"/>
    <w:rsid w:val="004B74AD"/>
    <w:rsid w:val="004C31E0"/>
    <w:rsid w:val="004C35D9"/>
    <w:rsid w:val="004C65DB"/>
    <w:rsid w:val="004D07F0"/>
    <w:rsid w:val="004E37DE"/>
    <w:rsid w:val="004E46FE"/>
    <w:rsid w:val="004E5DB8"/>
    <w:rsid w:val="004F194C"/>
    <w:rsid w:val="004F3A25"/>
    <w:rsid w:val="004F5862"/>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1C73"/>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91C14"/>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06CF"/>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B59D6"/>
    <w:rsid w:val="009C1FCE"/>
    <w:rsid w:val="009C478A"/>
    <w:rsid w:val="009D4E05"/>
    <w:rsid w:val="009D626F"/>
    <w:rsid w:val="009D7532"/>
    <w:rsid w:val="009D78B5"/>
    <w:rsid w:val="009E773D"/>
    <w:rsid w:val="009E7961"/>
    <w:rsid w:val="009E797A"/>
    <w:rsid w:val="009F4F88"/>
    <w:rsid w:val="009F6D20"/>
    <w:rsid w:val="00A03A37"/>
    <w:rsid w:val="00A1046C"/>
    <w:rsid w:val="00A12619"/>
    <w:rsid w:val="00A3027E"/>
    <w:rsid w:val="00A311A2"/>
    <w:rsid w:val="00A41F02"/>
    <w:rsid w:val="00A43F9D"/>
    <w:rsid w:val="00A441A2"/>
    <w:rsid w:val="00A46A06"/>
    <w:rsid w:val="00A5065A"/>
    <w:rsid w:val="00A520DB"/>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0C6F"/>
    <w:rsid w:val="00B15259"/>
    <w:rsid w:val="00B178D4"/>
    <w:rsid w:val="00B21502"/>
    <w:rsid w:val="00B27515"/>
    <w:rsid w:val="00B362B4"/>
    <w:rsid w:val="00B3724B"/>
    <w:rsid w:val="00B37FE2"/>
    <w:rsid w:val="00B42E4E"/>
    <w:rsid w:val="00B43C0A"/>
    <w:rsid w:val="00B7142F"/>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0F0A"/>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5C45"/>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paragraph" w:styleId="Heading1">
    <w:name w:val="heading 1"/>
    <w:basedOn w:val="Normal"/>
    <w:link w:val="Heading1Char"/>
    <w:uiPriority w:val="9"/>
    <w:qFormat/>
    <w:rsid w:val="00A520DB"/>
    <w:pPr>
      <w:widowControl w:val="0"/>
      <w:tabs>
        <w:tab w:val="clear" w:pos="0"/>
      </w:tabs>
      <w:overflowPunct/>
      <w:adjustRightInd/>
      <w:spacing w:after="0" w:line="240" w:lineRule="auto"/>
      <w:ind w:left="107"/>
      <w:textAlignment w:val="auto"/>
      <w:outlineLvl w:val="0"/>
    </w:pPr>
    <w:rPr>
      <w:rFonts w:ascii="Calibri" w:eastAsia="Calibri" w:hAnsi="Calibri" w:cs="Calibri"/>
      <w:b/>
      <w:bCs/>
      <w:color w:val="auto"/>
      <w:sz w:val="40"/>
      <w:szCs w:val="40"/>
    </w:rPr>
  </w:style>
  <w:style w:type="paragraph" w:styleId="Heading4">
    <w:name w:val="heading 4"/>
    <w:basedOn w:val="Normal"/>
    <w:next w:val="Normal"/>
    <w:link w:val="Heading4Char"/>
    <w:uiPriority w:val="9"/>
    <w:semiHidden/>
    <w:unhideWhenUsed/>
    <w:qFormat/>
    <w:rsid w:val="000C457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A520DB"/>
    <w:rPr>
      <w:rFonts w:ascii="Calibri" w:eastAsia="Calibri" w:hAnsi="Calibri" w:cs="Calibri"/>
      <w:b/>
      <w:bCs/>
      <w:sz w:val="40"/>
      <w:szCs w:val="40"/>
    </w:rPr>
  </w:style>
  <w:style w:type="character" w:customStyle="1" w:styleId="Heading4Char">
    <w:name w:val="Heading 4 Char"/>
    <w:basedOn w:val="DefaultParagraphFont"/>
    <w:link w:val="Heading4"/>
    <w:uiPriority w:val="9"/>
    <w:semiHidden/>
    <w:rsid w:val="000C457B"/>
    <w:rPr>
      <w:rFonts w:asciiTheme="majorHAnsi" w:eastAsiaTheme="majorEastAsia" w:hAnsiTheme="majorHAnsi" w:cstheme="majorBidi"/>
      <w:i/>
      <w:iCs/>
      <w:color w:val="365F91" w:themeColor="accent1" w:themeShade="BF"/>
      <w:sz w:val="22"/>
    </w:rPr>
  </w:style>
  <w:style w:type="paragraph" w:styleId="Revision">
    <w:name w:val="Revision"/>
    <w:hidden/>
    <w:uiPriority w:val="99"/>
    <w:semiHidden/>
    <w:rsid w:val="004743F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173492807">
      <w:bodyDiv w:val="1"/>
      <w:marLeft w:val="0"/>
      <w:marRight w:val="0"/>
      <w:marTop w:val="0"/>
      <w:marBottom w:val="0"/>
      <w:divBdr>
        <w:top w:val="none" w:sz="0" w:space="0" w:color="auto"/>
        <w:left w:val="none" w:sz="0" w:space="0" w:color="auto"/>
        <w:bottom w:val="none" w:sz="0" w:space="0" w:color="auto"/>
        <w:right w:val="none" w:sz="0" w:space="0" w:color="auto"/>
      </w:divBdr>
    </w:div>
    <w:div w:id="1227760523">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intertek.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ama-public.s3.amazonaws.com/event/2024_Summer/Schedule/2024_FGIASummer_Conference_Schedul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giaonlin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events/673/" TargetMode="External"/><Relationship Id="rId5" Type="http://schemas.openxmlformats.org/officeDocument/2006/relationships/webSettings" Target="webSettings.xml"/><Relationship Id="rId15" Type="http://schemas.openxmlformats.org/officeDocument/2006/relationships/hyperlink" Target="https://www.pilkington.com/en/us" TargetMode="External"/><Relationship Id="rId10" Type="http://schemas.openxmlformats.org/officeDocument/2006/relationships/hyperlink" Target="https://fgiaonline.org/events/6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www.rd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4403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5059</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2</cp:revision>
  <cp:lastPrinted>2014-02-14T16:35:00Z</cp:lastPrinted>
  <dcterms:created xsi:type="dcterms:W3CDTF">2024-04-29T19:57:00Z</dcterms:created>
  <dcterms:modified xsi:type="dcterms:W3CDTF">2024-04-29T19:57:00Z</dcterms:modified>
</cp:coreProperties>
</file>