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A479D5" w:rsidRDefault="00C6046E" w:rsidP="00AB12D6">
      <w:pPr>
        <w:spacing w:before="0"/>
        <w:ind w:right="8"/>
        <w:contextualSpacing/>
        <w:rPr>
          <w:rFonts w:ascii="Arial" w:hAnsi="Arial" w:cs="Arial"/>
          <w:i/>
          <w:sz w:val="18"/>
          <w:szCs w:val="18"/>
        </w:rPr>
      </w:pPr>
      <w:r w:rsidRPr="00A479D5">
        <w:rPr>
          <w:rFonts w:ascii="Arial" w:hAnsi="Arial" w:cs="Arial"/>
          <w:i/>
          <w:sz w:val="18"/>
          <w:szCs w:val="18"/>
        </w:rPr>
        <w:t>Media</w:t>
      </w:r>
      <w:r w:rsidR="005814DB" w:rsidRPr="00A479D5">
        <w:rPr>
          <w:rFonts w:ascii="Arial" w:hAnsi="Arial" w:cs="Arial"/>
          <w:i/>
          <w:sz w:val="18"/>
          <w:szCs w:val="18"/>
        </w:rPr>
        <w:t xml:space="preserve"> </w:t>
      </w:r>
      <w:r w:rsidRPr="00A479D5">
        <w:rPr>
          <w:rFonts w:ascii="Arial" w:hAnsi="Arial" w:cs="Arial"/>
          <w:i/>
          <w:sz w:val="18"/>
          <w:szCs w:val="18"/>
        </w:rPr>
        <w:t>contact:</w:t>
      </w:r>
    </w:p>
    <w:p w14:paraId="095ACF16" w14:textId="10D6A1AE" w:rsidR="00C6046E" w:rsidRPr="00A479D5" w:rsidRDefault="00C6046E" w:rsidP="00AB12D6">
      <w:pPr>
        <w:spacing w:before="0"/>
        <w:ind w:right="8"/>
        <w:contextualSpacing/>
        <w:rPr>
          <w:rFonts w:ascii="Arial" w:hAnsi="Arial" w:cs="Arial"/>
          <w:i/>
          <w:sz w:val="18"/>
          <w:szCs w:val="18"/>
        </w:rPr>
      </w:pPr>
      <w:r w:rsidRPr="00A479D5">
        <w:rPr>
          <w:rFonts w:ascii="Arial" w:hAnsi="Arial" w:cs="Arial"/>
          <w:i/>
          <w:sz w:val="18"/>
          <w:szCs w:val="18"/>
        </w:rPr>
        <w:t>Heather</w:t>
      </w:r>
      <w:r w:rsidR="005814DB" w:rsidRPr="00A479D5">
        <w:rPr>
          <w:rFonts w:ascii="Arial" w:hAnsi="Arial" w:cs="Arial"/>
          <w:i/>
          <w:sz w:val="18"/>
          <w:szCs w:val="18"/>
        </w:rPr>
        <w:t xml:space="preserve"> </w:t>
      </w:r>
      <w:r w:rsidRPr="00A479D5">
        <w:rPr>
          <w:rFonts w:ascii="Arial" w:hAnsi="Arial" w:cs="Arial"/>
          <w:i/>
          <w:sz w:val="18"/>
          <w:szCs w:val="18"/>
        </w:rPr>
        <w:t>West,</w:t>
      </w:r>
      <w:r w:rsidR="005814DB" w:rsidRPr="00A479D5">
        <w:rPr>
          <w:rFonts w:ascii="Arial" w:hAnsi="Arial" w:cs="Arial"/>
          <w:i/>
          <w:sz w:val="18"/>
          <w:szCs w:val="18"/>
        </w:rPr>
        <w:t xml:space="preserve"> </w:t>
      </w:r>
      <w:r w:rsidRPr="00A479D5">
        <w:rPr>
          <w:rFonts w:ascii="Arial" w:hAnsi="Arial" w:cs="Arial"/>
          <w:i/>
          <w:sz w:val="18"/>
          <w:szCs w:val="18"/>
        </w:rPr>
        <w:t>Heather</w:t>
      </w:r>
      <w:r w:rsidR="005814DB" w:rsidRPr="00A479D5">
        <w:rPr>
          <w:rFonts w:ascii="Arial" w:hAnsi="Arial" w:cs="Arial"/>
          <w:i/>
          <w:sz w:val="18"/>
          <w:szCs w:val="18"/>
        </w:rPr>
        <w:t xml:space="preserve"> </w:t>
      </w:r>
      <w:r w:rsidRPr="00A479D5">
        <w:rPr>
          <w:rFonts w:ascii="Arial" w:hAnsi="Arial" w:cs="Arial"/>
          <w:i/>
          <w:sz w:val="18"/>
          <w:szCs w:val="18"/>
        </w:rPr>
        <w:t>West</w:t>
      </w:r>
      <w:r w:rsidR="005814DB" w:rsidRPr="00A479D5">
        <w:rPr>
          <w:rFonts w:ascii="Arial" w:hAnsi="Arial" w:cs="Arial"/>
          <w:i/>
          <w:sz w:val="18"/>
          <w:szCs w:val="18"/>
        </w:rPr>
        <w:t xml:space="preserve"> </w:t>
      </w:r>
      <w:r w:rsidRPr="00A479D5">
        <w:rPr>
          <w:rFonts w:ascii="Arial" w:hAnsi="Arial" w:cs="Arial"/>
          <w:i/>
          <w:sz w:val="18"/>
          <w:szCs w:val="18"/>
        </w:rPr>
        <w:t>Public</w:t>
      </w:r>
      <w:r w:rsidR="005814DB" w:rsidRPr="00A479D5">
        <w:rPr>
          <w:rFonts w:ascii="Arial" w:hAnsi="Arial" w:cs="Arial"/>
          <w:i/>
          <w:sz w:val="18"/>
          <w:szCs w:val="18"/>
        </w:rPr>
        <w:t xml:space="preserve"> </w:t>
      </w:r>
      <w:r w:rsidRPr="00A479D5">
        <w:rPr>
          <w:rFonts w:ascii="Arial" w:hAnsi="Arial" w:cs="Arial"/>
          <w:i/>
          <w:sz w:val="18"/>
          <w:szCs w:val="18"/>
        </w:rPr>
        <w:t>Relations,</w:t>
      </w:r>
      <w:r w:rsidR="005814DB" w:rsidRPr="00A479D5">
        <w:rPr>
          <w:rFonts w:ascii="Arial" w:hAnsi="Arial" w:cs="Arial"/>
          <w:i/>
          <w:sz w:val="18"/>
          <w:szCs w:val="18"/>
        </w:rPr>
        <w:t xml:space="preserve"> </w:t>
      </w:r>
      <w:r w:rsidRPr="00A479D5">
        <w:rPr>
          <w:rFonts w:ascii="Arial" w:hAnsi="Arial" w:cs="Arial"/>
          <w:i/>
          <w:sz w:val="18"/>
          <w:szCs w:val="18"/>
        </w:rPr>
        <w:t>612-724-8760,</w:t>
      </w:r>
      <w:r w:rsidR="005814DB" w:rsidRPr="00A479D5">
        <w:rPr>
          <w:rFonts w:ascii="Arial" w:hAnsi="Arial" w:cs="Arial"/>
          <w:i/>
          <w:sz w:val="18"/>
          <w:szCs w:val="18"/>
        </w:rPr>
        <w:t xml:space="preserve"> </w:t>
      </w:r>
      <w:r w:rsidRPr="00A479D5">
        <w:rPr>
          <w:rFonts w:ascii="Arial" w:hAnsi="Arial" w:cs="Arial"/>
          <w:i/>
          <w:sz w:val="18"/>
          <w:szCs w:val="18"/>
        </w:rPr>
        <w:t>heather@heatherwestpr.com</w:t>
      </w:r>
    </w:p>
    <w:p w14:paraId="23BFB914" w14:textId="77777777" w:rsidR="003D4CA1" w:rsidRPr="00A479D5" w:rsidRDefault="003D4CA1" w:rsidP="00AB12D6">
      <w:pPr>
        <w:pStyle w:val="Heading1"/>
        <w:spacing w:before="0"/>
        <w:ind w:right="8"/>
        <w:contextualSpacing/>
        <w:rPr>
          <w:rFonts w:ascii="Arial" w:hAnsi="Arial" w:cs="Arial"/>
          <w:sz w:val="18"/>
          <w:szCs w:val="18"/>
        </w:rPr>
      </w:pPr>
    </w:p>
    <w:p w14:paraId="3C9E7961" w14:textId="77777777" w:rsidR="00522D84" w:rsidRPr="00A479D5" w:rsidRDefault="005506D9" w:rsidP="00AB12D6">
      <w:pPr>
        <w:pStyle w:val="Heading1"/>
        <w:spacing w:before="0"/>
        <w:ind w:right="8"/>
        <w:contextualSpacing/>
        <w:jc w:val="center"/>
        <w:rPr>
          <w:rFonts w:ascii="Arial" w:hAnsi="Arial" w:cs="Arial"/>
          <w:sz w:val="30"/>
          <w:szCs w:val="30"/>
        </w:rPr>
      </w:pPr>
      <w:r w:rsidRPr="00A479D5">
        <w:rPr>
          <w:rFonts w:ascii="Arial" w:hAnsi="Arial" w:cs="Arial"/>
          <w:sz w:val="30"/>
          <w:szCs w:val="30"/>
        </w:rPr>
        <w:t>Rockfon’s</w:t>
      </w:r>
      <w:r w:rsidR="00522D84" w:rsidRPr="00A479D5">
        <w:rPr>
          <w:rFonts w:ascii="Arial" w:hAnsi="Arial" w:cs="Arial"/>
          <w:sz w:val="30"/>
          <w:szCs w:val="30"/>
        </w:rPr>
        <w:t xml:space="preserve"> stone wool baffles optimize acoustics</w:t>
      </w:r>
    </w:p>
    <w:p w14:paraId="6B3A951A" w14:textId="59C383A7" w:rsidR="00D3735C" w:rsidRPr="00A479D5" w:rsidRDefault="00522D84" w:rsidP="00AB12D6">
      <w:pPr>
        <w:pStyle w:val="Heading1"/>
        <w:spacing w:before="0"/>
        <w:ind w:right="8"/>
        <w:contextualSpacing/>
        <w:jc w:val="center"/>
        <w:rPr>
          <w:rFonts w:ascii="Arial" w:hAnsi="Arial" w:cs="Arial"/>
          <w:sz w:val="30"/>
          <w:szCs w:val="30"/>
        </w:rPr>
      </w:pPr>
      <w:r w:rsidRPr="00A479D5">
        <w:rPr>
          <w:rFonts w:ascii="Arial" w:hAnsi="Arial" w:cs="Arial"/>
          <w:sz w:val="30"/>
          <w:szCs w:val="30"/>
        </w:rPr>
        <w:t>in Gensler’s Tampa open office</w:t>
      </w:r>
    </w:p>
    <w:p w14:paraId="41770380" w14:textId="77777777" w:rsidR="00FC7D49" w:rsidRPr="00A479D5" w:rsidRDefault="00FC7D49" w:rsidP="00AB12D6">
      <w:pPr>
        <w:widowControl w:val="0"/>
        <w:autoSpaceDE w:val="0"/>
        <w:autoSpaceDN w:val="0"/>
        <w:adjustRightInd w:val="0"/>
        <w:spacing w:before="0"/>
        <w:ind w:right="8"/>
        <w:contextualSpacing/>
        <w:rPr>
          <w:rFonts w:ascii="Arial" w:hAnsi="Arial" w:cs="Arial"/>
          <w:sz w:val="22"/>
          <w:szCs w:val="22"/>
        </w:rPr>
      </w:pPr>
    </w:p>
    <w:p w14:paraId="574A080D" w14:textId="617497B6" w:rsidR="000F4878" w:rsidRPr="00A479D5" w:rsidRDefault="008D0DAF" w:rsidP="00AB12D6">
      <w:pPr>
        <w:pStyle w:val="Default"/>
        <w:spacing w:before="0"/>
        <w:ind w:right="8"/>
        <w:contextualSpacing/>
        <w:rPr>
          <w:rFonts w:ascii="Arial" w:eastAsiaTheme="minorHAnsi" w:hAnsi="Arial" w:cs="Arial"/>
          <w:sz w:val="22"/>
          <w:szCs w:val="22"/>
        </w:rPr>
      </w:pPr>
      <w:r w:rsidRPr="00A479D5">
        <w:rPr>
          <w:rFonts w:ascii="Arial" w:hAnsi="Arial" w:cs="Arial"/>
          <w:sz w:val="22"/>
          <w:szCs w:val="22"/>
        </w:rPr>
        <w:t>Chicago</w:t>
      </w:r>
      <w:r w:rsidR="005814DB" w:rsidRPr="00A479D5">
        <w:rPr>
          <w:rFonts w:ascii="Arial" w:hAnsi="Arial" w:cs="Arial"/>
          <w:sz w:val="22"/>
          <w:szCs w:val="22"/>
        </w:rPr>
        <w:t xml:space="preserve"> </w:t>
      </w:r>
      <w:r w:rsidRPr="00A479D5">
        <w:rPr>
          <w:rFonts w:ascii="Arial" w:hAnsi="Arial" w:cs="Arial"/>
          <w:sz w:val="22"/>
          <w:szCs w:val="22"/>
        </w:rPr>
        <w:t>(</w:t>
      </w:r>
      <w:r w:rsidR="004D3AB2">
        <w:rPr>
          <w:rFonts w:ascii="Arial" w:hAnsi="Arial" w:cs="Arial"/>
          <w:sz w:val="22"/>
          <w:szCs w:val="22"/>
        </w:rPr>
        <w:t>Sept</w:t>
      </w:r>
      <w:r w:rsidR="00873A88" w:rsidRPr="00A479D5">
        <w:rPr>
          <w:rFonts w:ascii="Arial" w:hAnsi="Arial" w:cs="Arial"/>
          <w:sz w:val="22"/>
          <w:szCs w:val="22"/>
        </w:rPr>
        <w:t>.</w:t>
      </w:r>
      <w:r w:rsidR="005814DB" w:rsidRPr="00A479D5">
        <w:rPr>
          <w:rFonts w:ascii="Arial" w:hAnsi="Arial" w:cs="Arial"/>
          <w:sz w:val="22"/>
          <w:szCs w:val="22"/>
        </w:rPr>
        <w:t xml:space="preserve"> </w:t>
      </w:r>
      <w:r w:rsidR="00CD0B55" w:rsidRPr="00A479D5">
        <w:rPr>
          <w:rFonts w:ascii="Arial" w:hAnsi="Arial" w:cs="Arial"/>
          <w:sz w:val="22"/>
          <w:szCs w:val="22"/>
        </w:rPr>
        <w:t>2020</w:t>
      </w:r>
      <w:r w:rsidRPr="00A479D5">
        <w:rPr>
          <w:rFonts w:ascii="Arial" w:hAnsi="Arial" w:cs="Arial"/>
          <w:sz w:val="22"/>
          <w:szCs w:val="22"/>
        </w:rPr>
        <w:t>)</w:t>
      </w:r>
      <w:r w:rsidR="005814DB" w:rsidRPr="00A479D5">
        <w:rPr>
          <w:rFonts w:ascii="Arial" w:hAnsi="Arial" w:cs="Arial"/>
          <w:sz w:val="22"/>
          <w:szCs w:val="22"/>
        </w:rPr>
        <w:t xml:space="preserve"> </w:t>
      </w:r>
      <w:r w:rsidRPr="00A479D5">
        <w:rPr>
          <w:rFonts w:ascii="Arial" w:hAnsi="Arial" w:cs="Arial"/>
          <w:sz w:val="22"/>
          <w:szCs w:val="22"/>
        </w:rPr>
        <w:t>–</w:t>
      </w:r>
      <w:r w:rsidR="005814DB" w:rsidRPr="00A479D5">
        <w:rPr>
          <w:rFonts w:ascii="Arial" w:hAnsi="Arial" w:cs="Arial"/>
          <w:sz w:val="22"/>
          <w:szCs w:val="22"/>
        </w:rPr>
        <w:t xml:space="preserve"> </w:t>
      </w:r>
      <w:r w:rsidR="00522D84" w:rsidRPr="00A479D5">
        <w:rPr>
          <w:rFonts w:ascii="Arial" w:hAnsi="Arial" w:cs="Arial"/>
          <w:sz w:val="22"/>
          <w:szCs w:val="22"/>
        </w:rPr>
        <w:t>Global architecture, design and planning firm, Gensler, selected Rockfon’s ceiling systems for its new location in Tampa, Florida. The firm’s unique workspace spans two floors and 8,702 square feet of the renovated Rivergate Tower, doubling the square footage of Gensler’s previous Tampa location. Flexibility and collaboration were its guiding goals for its Tampa open office concept.</w:t>
      </w:r>
    </w:p>
    <w:p w14:paraId="49F1BAE8" w14:textId="081AAD4E" w:rsidR="00324AB1" w:rsidRPr="00A479D5" w:rsidRDefault="00324AB1" w:rsidP="00AB12D6">
      <w:pPr>
        <w:spacing w:before="0"/>
        <w:ind w:right="8"/>
        <w:contextualSpacing/>
        <w:rPr>
          <w:rFonts w:ascii="Arial" w:hAnsi="Arial" w:cs="Arial"/>
          <w:sz w:val="22"/>
          <w:szCs w:val="22"/>
        </w:rPr>
      </w:pPr>
    </w:p>
    <w:p w14:paraId="4FE313DA" w14:textId="1500D70A" w:rsidR="005506D9" w:rsidRPr="00A479D5" w:rsidRDefault="00522D84" w:rsidP="00AB12D6">
      <w:pPr>
        <w:pStyle w:val="Pa1"/>
        <w:spacing w:line="240" w:lineRule="auto"/>
        <w:ind w:right="8"/>
        <w:contextualSpacing/>
        <w:rPr>
          <w:rFonts w:ascii="Arial" w:hAnsi="Arial" w:cs="Arial"/>
          <w:color w:val="221E1F"/>
          <w:sz w:val="22"/>
          <w:szCs w:val="22"/>
        </w:rPr>
      </w:pPr>
      <w:r w:rsidRPr="00A479D5">
        <w:rPr>
          <w:rFonts w:ascii="Arial" w:hAnsi="Arial" w:cs="Arial"/>
          <w:sz w:val="22"/>
          <w:szCs w:val="22"/>
        </w:rPr>
        <w:t>An adaptive re-use project, Rivergate Tower features a six-story lobby at its core. Renovating an existing space with a full-height open center posed acoustic challenges for the design team. Helping provide solutions, Rockfon’s acoustic specialist, Gary Madaras, PhD, reviewed and consulted on the project.</w:t>
      </w:r>
    </w:p>
    <w:p w14:paraId="30A4F03C" w14:textId="77777777" w:rsidR="005506D9" w:rsidRPr="00A479D5" w:rsidRDefault="005506D9" w:rsidP="00AB12D6">
      <w:pPr>
        <w:pStyle w:val="Default"/>
        <w:spacing w:before="0"/>
        <w:ind w:right="8"/>
        <w:contextualSpacing/>
        <w:rPr>
          <w:rFonts w:ascii="Arial" w:hAnsi="Arial" w:cs="Arial"/>
          <w:sz w:val="22"/>
          <w:szCs w:val="22"/>
        </w:rPr>
      </w:pPr>
    </w:p>
    <w:p w14:paraId="027732ED" w14:textId="2CC4AACF" w:rsidR="005506D9" w:rsidRPr="00A479D5" w:rsidRDefault="00522D84" w:rsidP="00AB12D6">
      <w:pPr>
        <w:pStyle w:val="Pa1"/>
        <w:spacing w:line="240" w:lineRule="auto"/>
        <w:ind w:right="8"/>
        <w:contextualSpacing/>
        <w:rPr>
          <w:rFonts w:ascii="Arial" w:hAnsi="Arial" w:cs="Arial"/>
          <w:color w:val="221E1F"/>
          <w:sz w:val="22"/>
          <w:szCs w:val="22"/>
        </w:rPr>
      </w:pPr>
      <w:r w:rsidRPr="00A479D5">
        <w:rPr>
          <w:rFonts w:ascii="Arial" w:hAnsi="Arial" w:cs="Arial"/>
          <w:sz w:val="22"/>
          <w:szCs w:val="22"/>
        </w:rPr>
        <w:t>“Normally, walls and slabs separate all of these spaces acoustically,” Madaras explained. “Here, sound from one side of the building can transmit through the open core to the other side; sound from one floor can transmit to other floors. This places higher demand on the performance of the overhead absorption than if there were not an open central core.</w:t>
      </w:r>
      <w:r w:rsidR="005506D9" w:rsidRPr="00A479D5">
        <w:rPr>
          <w:rFonts w:ascii="Arial" w:hAnsi="Arial" w:cs="Arial"/>
          <w:color w:val="221E1F"/>
          <w:sz w:val="22"/>
          <w:szCs w:val="22"/>
        </w:rPr>
        <w:t>”</w:t>
      </w:r>
    </w:p>
    <w:p w14:paraId="340E2826" w14:textId="77777777" w:rsidR="005506D9" w:rsidRPr="00A479D5" w:rsidRDefault="005506D9" w:rsidP="00AB12D6">
      <w:pPr>
        <w:autoSpaceDE w:val="0"/>
        <w:autoSpaceDN w:val="0"/>
        <w:adjustRightInd w:val="0"/>
        <w:spacing w:before="0"/>
        <w:ind w:right="8"/>
        <w:contextualSpacing/>
        <w:rPr>
          <w:rFonts w:ascii="Arial" w:hAnsi="Arial" w:cs="Arial"/>
          <w:color w:val="221E1F"/>
          <w:sz w:val="22"/>
          <w:szCs w:val="22"/>
        </w:rPr>
      </w:pPr>
    </w:p>
    <w:p w14:paraId="62A702AB" w14:textId="1D223E7C" w:rsidR="005506D9" w:rsidRPr="00A479D5" w:rsidRDefault="00522D84" w:rsidP="00AB12D6">
      <w:pPr>
        <w:autoSpaceDE w:val="0"/>
        <w:autoSpaceDN w:val="0"/>
        <w:adjustRightInd w:val="0"/>
        <w:spacing w:before="0"/>
        <w:ind w:right="8"/>
        <w:contextualSpacing/>
        <w:rPr>
          <w:rFonts w:ascii="Arial" w:hAnsi="Arial" w:cs="Arial"/>
          <w:sz w:val="22"/>
          <w:szCs w:val="22"/>
        </w:rPr>
      </w:pPr>
      <w:r w:rsidRPr="00A479D5">
        <w:rPr>
          <w:rFonts w:ascii="Arial" w:hAnsi="Arial" w:cs="Arial"/>
          <w:sz w:val="22"/>
          <w:szCs w:val="22"/>
        </w:rPr>
        <w:t>To optimize acoustics for Gensler’s office, Rockfon’s acoustic stone wool ceiling baffles were</w:t>
      </w:r>
      <w:r w:rsidR="00A479D5" w:rsidRPr="00A479D5">
        <w:rPr>
          <w:rFonts w:ascii="Arial" w:hAnsi="Arial" w:cs="Arial"/>
          <w:sz w:val="22"/>
          <w:szCs w:val="22"/>
        </w:rPr>
        <w:t xml:space="preserve"> </w:t>
      </w:r>
      <w:r w:rsidR="00A479D5" w:rsidRPr="00A479D5">
        <w:rPr>
          <w:rFonts w:ascii="Arial" w:hAnsi="Arial" w:cs="Arial"/>
          <w:color w:val="211D1E"/>
          <w:sz w:val="22"/>
          <w:szCs w:val="22"/>
        </w:rPr>
        <w:t>recommended for the shared spaces. These include the main reception area, the interior hallways near the open lobby, the staff cafeteria and kitchen, the workstation zone, and the small group meeting areas.</w:t>
      </w:r>
    </w:p>
    <w:p w14:paraId="118D37EC" w14:textId="710C5880" w:rsidR="00015D97" w:rsidRPr="00A479D5" w:rsidRDefault="00015D97" w:rsidP="00AB12D6">
      <w:pPr>
        <w:pStyle w:val="Default"/>
        <w:spacing w:before="0"/>
        <w:ind w:right="8"/>
        <w:contextualSpacing/>
        <w:rPr>
          <w:rFonts w:ascii="Arial" w:hAnsi="Arial" w:cs="Arial"/>
          <w:sz w:val="22"/>
          <w:szCs w:val="22"/>
        </w:rPr>
      </w:pPr>
    </w:p>
    <w:p w14:paraId="01AC24D5" w14:textId="4A335E0D" w:rsidR="00A479D5" w:rsidRPr="00A479D5" w:rsidRDefault="00A479D5" w:rsidP="00AB12D6">
      <w:pPr>
        <w:pStyle w:val="Default"/>
        <w:spacing w:before="0"/>
        <w:ind w:right="8"/>
        <w:contextualSpacing/>
        <w:rPr>
          <w:rFonts w:ascii="Arial" w:hAnsi="Arial" w:cs="Arial"/>
          <w:color w:val="211D1E"/>
          <w:sz w:val="22"/>
          <w:szCs w:val="22"/>
        </w:rPr>
      </w:pPr>
      <w:r w:rsidRPr="00A479D5">
        <w:rPr>
          <w:rFonts w:ascii="Arial" w:hAnsi="Arial" w:cs="Arial"/>
          <w:color w:val="211D1E"/>
          <w:sz w:val="22"/>
          <w:szCs w:val="22"/>
        </w:rPr>
        <w:t>Madaras elaborated, “As sound waves travel from the office areas toward the open core, the energy gets attenuated greatly by the baffles. Each baffle absorbs a little bit of the wave. By the time the wave reaches the open core, it has been attenuated enough so that it cannot be heard on other floors or on the other side across the open core. Baffles decrease the distraction distance so fewer people are taken off-task or annoyed by noises.”</w:t>
      </w:r>
    </w:p>
    <w:p w14:paraId="2FABF15D" w14:textId="7257520D" w:rsidR="00A479D5" w:rsidRPr="00A479D5" w:rsidRDefault="00A479D5" w:rsidP="00AB12D6">
      <w:pPr>
        <w:pStyle w:val="Default"/>
        <w:spacing w:before="0"/>
        <w:ind w:right="8"/>
        <w:contextualSpacing/>
        <w:rPr>
          <w:rFonts w:ascii="Arial" w:hAnsi="Arial" w:cs="Arial"/>
          <w:color w:val="211D1E"/>
          <w:sz w:val="22"/>
          <w:szCs w:val="22"/>
        </w:rPr>
      </w:pPr>
    </w:p>
    <w:p w14:paraId="1AF3B1B0" w14:textId="008B8BD2" w:rsidR="00A479D5" w:rsidRPr="00A479D5" w:rsidRDefault="00A479D5" w:rsidP="00AB12D6">
      <w:pPr>
        <w:pStyle w:val="Default"/>
        <w:spacing w:before="0"/>
        <w:ind w:right="8"/>
        <w:contextualSpacing/>
        <w:rPr>
          <w:rFonts w:ascii="Arial" w:hAnsi="Arial" w:cs="Arial"/>
          <w:color w:val="211D1E"/>
          <w:sz w:val="22"/>
          <w:szCs w:val="22"/>
        </w:rPr>
      </w:pPr>
      <w:r w:rsidRPr="00A479D5">
        <w:rPr>
          <w:rFonts w:ascii="Arial" w:hAnsi="Arial" w:cs="Arial"/>
          <w:color w:val="211D1E"/>
          <w:sz w:val="22"/>
          <w:szCs w:val="22"/>
        </w:rPr>
        <w:t>While those in enclosed offices and meeting spaces are less likely to experience interruptions, sound-absorbing stone wool ceiling panels were used to further optimize acoustics.</w:t>
      </w:r>
    </w:p>
    <w:p w14:paraId="047FB722" w14:textId="32A13D8A" w:rsidR="00A479D5" w:rsidRPr="00A479D5" w:rsidRDefault="00A479D5" w:rsidP="00AB12D6">
      <w:pPr>
        <w:pStyle w:val="Default"/>
        <w:spacing w:before="0"/>
        <w:ind w:right="8"/>
        <w:contextualSpacing/>
        <w:rPr>
          <w:rFonts w:ascii="Arial" w:hAnsi="Arial" w:cs="Arial"/>
          <w:color w:val="211D1E"/>
          <w:sz w:val="22"/>
          <w:szCs w:val="22"/>
        </w:rPr>
      </w:pPr>
    </w:p>
    <w:p w14:paraId="6EC2A038" w14:textId="10139C98" w:rsidR="00A479D5" w:rsidRPr="00A479D5" w:rsidRDefault="00A479D5" w:rsidP="00AB12D6">
      <w:pPr>
        <w:pStyle w:val="Default"/>
        <w:spacing w:before="0"/>
        <w:ind w:right="8"/>
        <w:contextualSpacing/>
        <w:rPr>
          <w:rFonts w:ascii="Arial" w:hAnsi="Arial" w:cs="Arial"/>
          <w:color w:val="211D1E"/>
          <w:sz w:val="22"/>
          <w:szCs w:val="22"/>
        </w:rPr>
      </w:pPr>
      <w:proofErr w:type="spellStart"/>
      <w:r w:rsidRPr="00A479D5">
        <w:rPr>
          <w:rFonts w:ascii="Arial" w:hAnsi="Arial" w:cs="Arial"/>
          <w:sz w:val="22"/>
          <w:szCs w:val="22"/>
        </w:rPr>
        <w:t>Acousti</w:t>
      </w:r>
      <w:proofErr w:type="spellEnd"/>
      <w:r w:rsidRPr="00A479D5">
        <w:rPr>
          <w:rFonts w:ascii="Arial" w:hAnsi="Arial" w:cs="Arial"/>
          <w:sz w:val="22"/>
          <w:szCs w:val="22"/>
        </w:rPr>
        <w:t xml:space="preserve"> Engineering </w:t>
      </w:r>
      <w:r w:rsidRPr="00A479D5">
        <w:rPr>
          <w:rFonts w:ascii="Arial" w:hAnsi="Arial" w:cs="Arial"/>
          <w:color w:val="211D1E"/>
          <w:sz w:val="22"/>
          <w:szCs w:val="22"/>
        </w:rPr>
        <w:t>Company of Florida installed Rockfon’s stone wool baffles and panels, as well as the metal ceiling grid to support the panels. The crew also relied on Rockfon Infinity perimeter trim to provide a neat, crisp edge. Enhancing this clean, bright appearance, white was the color of choice for the visible ceiling materials. In addition to the modern aesthetic, Rockfon’s white finish reflects and diffuses the natural light throughout Gensler’s offices.</w:t>
      </w:r>
    </w:p>
    <w:p w14:paraId="2998B463" w14:textId="624D021E" w:rsidR="00A479D5" w:rsidRPr="00A479D5" w:rsidRDefault="00A479D5" w:rsidP="00AB12D6">
      <w:pPr>
        <w:pStyle w:val="Default"/>
        <w:spacing w:before="0"/>
        <w:ind w:right="8"/>
        <w:contextualSpacing/>
        <w:rPr>
          <w:rFonts w:ascii="Arial" w:hAnsi="Arial" w:cs="Arial"/>
          <w:color w:val="211D1E"/>
          <w:sz w:val="22"/>
          <w:szCs w:val="22"/>
        </w:rPr>
      </w:pPr>
    </w:p>
    <w:p w14:paraId="22C1ADE5" w14:textId="3D747302" w:rsidR="00A479D5" w:rsidRPr="00A479D5" w:rsidRDefault="00A479D5" w:rsidP="00AB12D6">
      <w:pPr>
        <w:pStyle w:val="Default"/>
        <w:spacing w:before="0"/>
        <w:ind w:right="8"/>
        <w:contextualSpacing/>
        <w:rPr>
          <w:rFonts w:ascii="Arial" w:hAnsi="Arial" w:cs="Arial"/>
          <w:color w:val="211D1E"/>
          <w:sz w:val="22"/>
          <w:szCs w:val="22"/>
        </w:rPr>
      </w:pPr>
      <w:r w:rsidRPr="00A479D5">
        <w:rPr>
          <w:rFonts w:ascii="Arial" w:hAnsi="Arial" w:cs="Arial"/>
          <w:color w:val="211D1E"/>
          <w:sz w:val="22"/>
          <w:szCs w:val="22"/>
        </w:rPr>
        <w:t>“To optimize performance, we must address effectiveness and experience in tandem,” stated the Gensler 2019 U.S. Workplace Survey. “The amenities that deliver the greatest impact connect directly to people’s most salient needs and preferences: spaces directly connected to innovation, making and collaboration; and quiet places to perform focused or individual work.”</w:t>
      </w:r>
    </w:p>
    <w:p w14:paraId="376CF2D0" w14:textId="69ABF34C" w:rsidR="00A479D5" w:rsidRPr="00A479D5" w:rsidRDefault="00A479D5" w:rsidP="00AB12D6">
      <w:pPr>
        <w:pStyle w:val="Default"/>
        <w:spacing w:before="0"/>
        <w:ind w:right="8"/>
        <w:contextualSpacing/>
        <w:rPr>
          <w:rFonts w:ascii="Arial" w:hAnsi="Arial" w:cs="Arial"/>
          <w:color w:val="211D1E"/>
          <w:sz w:val="22"/>
          <w:szCs w:val="22"/>
        </w:rPr>
      </w:pPr>
    </w:p>
    <w:p w14:paraId="55F1C84F" w14:textId="27189ABC" w:rsidR="00A479D5" w:rsidRPr="00A479D5" w:rsidRDefault="00A479D5" w:rsidP="00AB12D6">
      <w:pPr>
        <w:pStyle w:val="Default"/>
        <w:spacing w:before="0"/>
        <w:ind w:right="8"/>
        <w:contextualSpacing/>
        <w:rPr>
          <w:rFonts w:ascii="Arial" w:eastAsiaTheme="minorHAnsi" w:hAnsi="Arial" w:cs="Arial"/>
          <w:color w:val="211D1E"/>
          <w:sz w:val="22"/>
          <w:szCs w:val="22"/>
        </w:rPr>
      </w:pPr>
      <w:r w:rsidRPr="00A479D5">
        <w:rPr>
          <w:rFonts w:ascii="Arial" w:hAnsi="Arial" w:cs="Arial"/>
          <w:color w:val="211D1E"/>
          <w:sz w:val="22"/>
          <w:szCs w:val="22"/>
        </w:rPr>
        <w:t>“</w:t>
      </w:r>
      <w:r w:rsidRPr="00A479D5">
        <w:rPr>
          <w:rFonts w:ascii="Arial" w:eastAsiaTheme="minorHAnsi" w:hAnsi="Arial" w:cs="Arial"/>
          <w:color w:val="211D1E"/>
          <w:sz w:val="22"/>
          <w:szCs w:val="22"/>
        </w:rPr>
        <w:t>Open environments should be private, too,” stated Gensler’s Workplace Survey. “Greater degrees of openness are associated with high performance; but noise, privacy and the ability to focus remain key determinants of workplace effectiveness. A choice-based strategy that provides a variety of spaces and different types of enclosure can reconcile these needs.”</w:t>
      </w:r>
    </w:p>
    <w:p w14:paraId="379E6953" w14:textId="77777777" w:rsidR="00A479D5" w:rsidRPr="00A479D5" w:rsidRDefault="00A479D5" w:rsidP="00AB12D6">
      <w:pPr>
        <w:pStyle w:val="Default"/>
        <w:spacing w:before="0"/>
        <w:contextualSpacing/>
        <w:jc w:val="right"/>
        <w:rPr>
          <w:rFonts w:ascii="Arial" w:hAnsi="Arial" w:cs="Arial"/>
          <w:sz w:val="20"/>
          <w:szCs w:val="20"/>
        </w:rPr>
      </w:pPr>
      <w:r w:rsidRPr="00A479D5">
        <w:rPr>
          <w:rFonts w:ascii="Arial" w:hAnsi="Arial" w:cs="Arial"/>
          <w:i/>
          <w:sz w:val="20"/>
          <w:szCs w:val="20"/>
        </w:rPr>
        <w:t>(more)</w:t>
      </w:r>
    </w:p>
    <w:p w14:paraId="533B5AD6" w14:textId="77777777" w:rsidR="00A479D5" w:rsidRPr="00A479D5" w:rsidRDefault="00A479D5" w:rsidP="00AB12D6">
      <w:pPr>
        <w:spacing w:before="0"/>
        <w:contextualSpacing/>
        <w:rPr>
          <w:rFonts w:ascii="Arial" w:hAnsi="Arial" w:cs="Arial"/>
          <w:sz w:val="20"/>
          <w:szCs w:val="20"/>
        </w:rPr>
      </w:pPr>
      <w:r w:rsidRPr="00A479D5">
        <w:rPr>
          <w:rFonts w:ascii="Arial" w:hAnsi="Arial" w:cs="Arial"/>
          <w:sz w:val="20"/>
          <w:szCs w:val="20"/>
        </w:rPr>
        <w:br w:type="page"/>
      </w:r>
    </w:p>
    <w:p w14:paraId="7409EEAA" w14:textId="6D0EEF54" w:rsidR="00A479D5" w:rsidRPr="00A479D5" w:rsidRDefault="00A479D5" w:rsidP="00AB12D6">
      <w:pPr>
        <w:pStyle w:val="Default"/>
        <w:spacing w:before="0"/>
        <w:ind w:right="8"/>
        <w:contextualSpacing/>
        <w:rPr>
          <w:rFonts w:ascii="Arial" w:eastAsiaTheme="minorHAnsi" w:hAnsi="Arial" w:cs="Arial"/>
          <w:color w:val="211D1E"/>
          <w:sz w:val="22"/>
          <w:szCs w:val="22"/>
        </w:rPr>
      </w:pPr>
      <w:r w:rsidRPr="00A479D5">
        <w:rPr>
          <w:rFonts w:ascii="Arial" w:eastAsiaTheme="minorHAnsi" w:hAnsi="Arial" w:cs="Arial"/>
          <w:color w:val="211D1E"/>
          <w:sz w:val="22"/>
          <w:szCs w:val="22"/>
        </w:rPr>
        <w:lastRenderedPageBreak/>
        <w:t>When rating what constitutes the “best” workplaces overall, Gensler’s survey reported “team building and collaboration” is the highest-ranked aspect of a great workplace and “support health and well-being”</w:t>
      </w:r>
      <w:r w:rsidRPr="00A479D5">
        <w:rPr>
          <w:rStyle w:val="HeaderChar"/>
          <w:rFonts w:ascii="Arial" w:hAnsi="Arial" w:cs="Arial"/>
          <w:sz w:val="22"/>
          <w:szCs w:val="22"/>
        </w:rPr>
        <w:t xml:space="preserve"> </w:t>
      </w:r>
      <w:r w:rsidRPr="00A479D5">
        <w:rPr>
          <w:rFonts w:ascii="Arial" w:eastAsiaTheme="minorHAnsi" w:hAnsi="Arial" w:cs="Arial"/>
          <w:color w:val="211D1E"/>
          <w:sz w:val="22"/>
          <w:szCs w:val="22"/>
        </w:rPr>
        <w:t>is the second highest-ranked aspect.</w:t>
      </w:r>
    </w:p>
    <w:p w14:paraId="710050FD" w14:textId="342FF445" w:rsidR="00A479D5" w:rsidRPr="00A479D5" w:rsidRDefault="00A479D5" w:rsidP="00AB12D6">
      <w:pPr>
        <w:pStyle w:val="Default"/>
        <w:spacing w:before="0"/>
        <w:ind w:right="8"/>
        <w:contextualSpacing/>
        <w:rPr>
          <w:rFonts w:ascii="Arial" w:eastAsiaTheme="minorHAnsi" w:hAnsi="Arial" w:cs="Arial"/>
          <w:color w:val="211D1E"/>
          <w:sz w:val="22"/>
          <w:szCs w:val="22"/>
        </w:rPr>
      </w:pPr>
    </w:p>
    <w:p w14:paraId="411469FA" w14:textId="423DBF64" w:rsidR="00A479D5" w:rsidRDefault="00A479D5" w:rsidP="00AB12D6">
      <w:pPr>
        <w:pStyle w:val="Default"/>
        <w:spacing w:before="0"/>
        <w:ind w:right="8"/>
        <w:contextualSpacing/>
        <w:rPr>
          <w:rFonts w:ascii="Arial" w:eastAsiaTheme="minorHAnsi" w:hAnsi="Arial" w:cs="Arial"/>
          <w:color w:val="211D1E"/>
          <w:sz w:val="22"/>
          <w:szCs w:val="22"/>
        </w:rPr>
      </w:pPr>
      <w:r w:rsidRPr="00A479D5">
        <w:rPr>
          <w:rFonts w:ascii="Arial" w:eastAsiaTheme="minorHAnsi" w:hAnsi="Arial" w:cs="Arial"/>
          <w:color w:val="211D1E"/>
          <w:sz w:val="22"/>
          <w:szCs w:val="22"/>
        </w:rPr>
        <w:t>“Although these desires may appear at odds with one another, the best workplaces treat these goals as equal – delivering a variety of spaces that accommodate privacy and focus alongside more open spaces that prioritize connection,</w:t>
      </w:r>
      <w:r w:rsidRPr="00A479D5">
        <w:rPr>
          <w:rStyle w:val="HeaderChar"/>
          <w:rFonts w:ascii="Arial" w:hAnsi="Arial" w:cs="Arial"/>
          <w:sz w:val="22"/>
          <w:szCs w:val="22"/>
        </w:rPr>
        <w:t xml:space="preserve"> </w:t>
      </w:r>
      <w:r w:rsidRPr="00A479D5">
        <w:rPr>
          <w:rFonts w:ascii="Arial" w:eastAsiaTheme="minorHAnsi" w:hAnsi="Arial" w:cs="Arial"/>
          <w:color w:val="211D1E"/>
          <w:sz w:val="22"/>
          <w:szCs w:val="22"/>
        </w:rPr>
        <w:t>collaboration and innovation,” noted Gensler’s survey. “These greater degrees of openness align with behaviors connected to effectiveness, experience and engagement. People working in more open spaces are more likely to report experimenting with new ways of working, taking time to reflect, having fun and getting inspired.”</w:t>
      </w:r>
    </w:p>
    <w:p w14:paraId="55E44634" w14:textId="316621CB" w:rsidR="00A479D5" w:rsidRDefault="00A479D5" w:rsidP="00AB12D6">
      <w:pPr>
        <w:pStyle w:val="Default"/>
        <w:spacing w:before="0"/>
        <w:ind w:right="8"/>
        <w:contextualSpacing/>
        <w:rPr>
          <w:rFonts w:ascii="Arial" w:eastAsiaTheme="minorHAnsi" w:hAnsi="Arial" w:cs="Arial"/>
          <w:color w:val="211D1E"/>
          <w:sz w:val="22"/>
          <w:szCs w:val="22"/>
        </w:rPr>
      </w:pPr>
    </w:p>
    <w:p w14:paraId="362B279D" w14:textId="775BEF88" w:rsidR="00A479D5" w:rsidRDefault="00A479D5" w:rsidP="00AB12D6">
      <w:pPr>
        <w:pStyle w:val="Default"/>
        <w:spacing w:before="0"/>
        <w:ind w:right="8"/>
        <w:contextualSpacing/>
        <w:jc w:val="center"/>
        <w:rPr>
          <w:rFonts w:ascii="Arial" w:eastAsiaTheme="minorHAnsi" w:hAnsi="Arial" w:cs="Arial"/>
          <w:color w:val="211D1E"/>
          <w:sz w:val="22"/>
          <w:szCs w:val="22"/>
        </w:rPr>
      </w:pPr>
      <w:r>
        <w:rPr>
          <w:rFonts w:ascii="Arial" w:eastAsiaTheme="minorHAnsi" w:hAnsi="Arial" w:cs="Arial"/>
          <w:color w:val="211D1E"/>
          <w:sz w:val="22"/>
          <w:szCs w:val="22"/>
        </w:rPr>
        <w:t>**</w:t>
      </w:r>
    </w:p>
    <w:p w14:paraId="1D012853" w14:textId="77777777" w:rsidR="00A479D5" w:rsidRPr="00AB12D6" w:rsidRDefault="00A479D5" w:rsidP="00AB12D6">
      <w:pPr>
        <w:pStyle w:val="Default"/>
        <w:spacing w:before="0"/>
        <w:ind w:right="8"/>
        <w:contextualSpacing/>
        <w:rPr>
          <w:rFonts w:ascii="Arial" w:eastAsiaTheme="minorHAnsi" w:hAnsi="Arial" w:cs="Arial"/>
          <w:color w:val="211D1E"/>
          <w:sz w:val="20"/>
          <w:szCs w:val="20"/>
        </w:rPr>
      </w:pPr>
    </w:p>
    <w:p w14:paraId="13A30CB6" w14:textId="5A9412BB" w:rsidR="00AB12D6" w:rsidRPr="00AB12D6" w:rsidRDefault="00A479D5" w:rsidP="00AB12D6">
      <w:pPr>
        <w:spacing w:before="0"/>
        <w:contextualSpacing/>
        <w:rPr>
          <w:rFonts w:ascii="Arial" w:eastAsia="Times New Roman" w:hAnsi="Arial" w:cs="Arial"/>
          <w:color w:val="auto"/>
          <w:sz w:val="20"/>
          <w:szCs w:val="20"/>
        </w:rPr>
      </w:pPr>
      <w:r w:rsidRPr="00AB12D6">
        <w:rPr>
          <w:rFonts w:ascii="Arial" w:hAnsi="Arial" w:cs="Arial"/>
          <w:b/>
          <w:sz w:val="20"/>
          <w:szCs w:val="20"/>
        </w:rPr>
        <w:t>Gensler</w:t>
      </w:r>
      <w:r w:rsidRPr="00AB12D6">
        <w:rPr>
          <w:rFonts w:ascii="Arial" w:hAnsi="Arial" w:cs="Arial"/>
          <w:bCs/>
          <w:sz w:val="20"/>
          <w:szCs w:val="20"/>
        </w:rPr>
        <w:t xml:space="preserve">; </w:t>
      </w:r>
      <w:r w:rsidR="00AB12D6" w:rsidRPr="00AB12D6">
        <w:rPr>
          <w:rFonts w:ascii="Arial" w:hAnsi="Arial" w:cs="Arial"/>
          <w:sz w:val="20"/>
          <w:szCs w:val="20"/>
        </w:rPr>
        <w:t>Rivergate Tower,</w:t>
      </w:r>
      <w:r w:rsidR="00AB12D6" w:rsidRPr="00AB12D6">
        <w:rPr>
          <w:rFonts w:ascii="Arial" w:eastAsia="Times New Roman" w:hAnsi="Arial" w:cs="Arial"/>
          <w:color w:val="auto"/>
          <w:sz w:val="20"/>
          <w:szCs w:val="20"/>
        </w:rPr>
        <w:t xml:space="preserve"> 400 N Ashley Dr., Suite C400, Tampa, FL 33602; https://www.gensler.com/offices/tampa</w:t>
      </w:r>
    </w:p>
    <w:p w14:paraId="311ACA4E" w14:textId="63C15BBF" w:rsidR="00AB12D6" w:rsidRPr="00AB12D6" w:rsidRDefault="00AB12D6" w:rsidP="00AB12D6">
      <w:pPr>
        <w:pStyle w:val="ListParagraph"/>
        <w:numPr>
          <w:ilvl w:val="0"/>
          <w:numId w:val="39"/>
        </w:numPr>
        <w:spacing w:before="0"/>
        <w:rPr>
          <w:rFonts w:ascii="Arial" w:hAnsi="Arial" w:cs="Arial"/>
          <w:sz w:val="20"/>
          <w:szCs w:val="20"/>
        </w:rPr>
      </w:pPr>
      <w:r w:rsidRPr="00AB12D6">
        <w:rPr>
          <w:rFonts w:ascii="Arial" w:hAnsi="Arial" w:cs="Arial"/>
          <w:sz w:val="20"/>
          <w:szCs w:val="20"/>
        </w:rPr>
        <w:t>Architect: Gensler; Tampa</w:t>
      </w:r>
      <w:r>
        <w:rPr>
          <w:rFonts w:ascii="Arial" w:hAnsi="Arial" w:cs="Arial"/>
          <w:sz w:val="20"/>
          <w:szCs w:val="20"/>
        </w:rPr>
        <w:t>, Florida</w:t>
      </w:r>
      <w:r w:rsidRPr="00AB12D6">
        <w:rPr>
          <w:rFonts w:ascii="Arial" w:hAnsi="Arial" w:cs="Arial"/>
          <w:sz w:val="20"/>
          <w:szCs w:val="20"/>
        </w:rPr>
        <w:t>; https://www.gensler.com</w:t>
      </w:r>
    </w:p>
    <w:p w14:paraId="2D03BE7E" w14:textId="05A193F9" w:rsidR="00A479D5" w:rsidRPr="00AB12D6" w:rsidRDefault="00A479D5" w:rsidP="00AB12D6">
      <w:pPr>
        <w:pStyle w:val="ListParagraph"/>
        <w:numPr>
          <w:ilvl w:val="0"/>
          <w:numId w:val="39"/>
        </w:numPr>
        <w:spacing w:before="0"/>
        <w:rPr>
          <w:rFonts w:ascii="Arial" w:hAnsi="Arial" w:cs="Arial"/>
          <w:sz w:val="20"/>
          <w:szCs w:val="20"/>
        </w:rPr>
      </w:pPr>
      <w:r w:rsidRPr="00AB12D6">
        <w:rPr>
          <w:rFonts w:ascii="Arial" w:hAnsi="Arial" w:cs="Arial"/>
          <w:sz w:val="20"/>
          <w:szCs w:val="20"/>
        </w:rPr>
        <w:t xml:space="preserve">Installing contractor: </w:t>
      </w:r>
      <w:proofErr w:type="spellStart"/>
      <w:r w:rsidRPr="00AB12D6">
        <w:rPr>
          <w:rFonts w:ascii="Arial" w:hAnsi="Arial" w:cs="Arial"/>
          <w:sz w:val="20"/>
          <w:szCs w:val="20"/>
        </w:rPr>
        <w:t>Acousti</w:t>
      </w:r>
      <w:proofErr w:type="spellEnd"/>
      <w:r w:rsidRPr="00AB12D6">
        <w:rPr>
          <w:rFonts w:ascii="Arial" w:hAnsi="Arial" w:cs="Arial"/>
          <w:sz w:val="20"/>
          <w:szCs w:val="20"/>
        </w:rPr>
        <w:t xml:space="preserve"> Engineering Company of Florida</w:t>
      </w:r>
      <w:r w:rsidR="00AB12D6">
        <w:rPr>
          <w:rFonts w:ascii="Arial" w:hAnsi="Arial" w:cs="Arial"/>
          <w:sz w:val="20"/>
          <w:szCs w:val="20"/>
        </w:rPr>
        <w:t>; Orlando</w:t>
      </w:r>
      <w:r w:rsidR="00457F91">
        <w:rPr>
          <w:rFonts w:ascii="Arial" w:hAnsi="Arial" w:cs="Arial"/>
          <w:sz w:val="20"/>
          <w:szCs w:val="20"/>
        </w:rPr>
        <w:t>, Florida</w:t>
      </w:r>
      <w:r w:rsidR="00AB12D6">
        <w:rPr>
          <w:rFonts w:ascii="Arial" w:hAnsi="Arial" w:cs="Arial"/>
          <w:sz w:val="20"/>
          <w:szCs w:val="20"/>
        </w:rPr>
        <w:t xml:space="preserve">; </w:t>
      </w:r>
      <w:r w:rsidR="00AB12D6" w:rsidRPr="00AB12D6">
        <w:rPr>
          <w:rFonts w:ascii="Arial" w:hAnsi="Arial" w:cs="Arial"/>
          <w:sz w:val="20"/>
          <w:szCs w:val="20"/>
        </w:rPr>
        <w:t>https://acousti.com</w:t>
      </w:r>
    </w:p>
    <w:p w14:paraId="653AEA4E" w14:textId="77777777" w:rsidR="00AB12D6" w:rsidRPr="00AB12D6" w:rsidRDefault="00AB12D6" w:rsidP="00AB12D6">
      <w:pPr>
        <w:pStyle w:val="Default"/>
        <w:numPr>
          <w:ilvl w:val="0"/>
          <w:numId w:val="35"/>
        </w:numPr>
        <w:pBdr>
          <w:top w:val="nil"/>
          <w:left w:val="nil"/>
          <w:bottom w:val="nil"/>
          <w:right w:val="nil"/>
          <w:between w:val="nil"/>
          <w:bar w:val="nil"/>
        </w:pBdr>
        <w:autoSpaceDE/>
        <w:autoSpaceDN/>
        <w:adjustRightInd/>
        <w:spacing w:before="0"/>
        <w:contextualSpacing/>
        <w:rPr>
          <w:rFonts w:ascii="Arial" w:eastAsia="Cambria" w:hAnsi="Arial" w:cs="Arial"/>
          <w:sz w:val="20"/>
          <w:szCs w:val="20"/>
          <w:u w:color="000000"/>
        </w:rPr>
      </w:pPr>
      <w:r w:rsidRPr="00AB12D6">
        <w:rPr>
          <w:rFonts w:ascii="Arial" w:eastAsia="Cambria" w:hAnsi="Arial" w:cs="Arial"/>
          <w:sz w:val="20"/>
          <w:szCs w:val="20"/>
          <w:u w:color="000000"/>
        </w:rPr>
        <w:t>Ceiling systems – manufacturer: Rockfon; Chicago; https://www.rockfon.com</w:t>
      </w:r>
    </w:p>
    <w:p w14:paraId="1B2F5666" w14:textId="7273C676" w:rsidR="00A479D5" w:rsidRPr="00AB12D6" w:rsidRDefault="00A479D5" w:rsidP="00AB12D6">
      <w:pPr>
        <w:pStyle w:val="Default"/>
        <w:numPr>
          <w:ilvl w:val="0"/>
          <w:numId w:val="35"/>
        </w:numPr>
        <w:spacing w:before="0"/>
        <w:contextualSpacing/>
        <w:rPr>
          <w:rFonts w:ascii="Arial" w:eastAsiaTheme="minorHAnsi" w:hAnsi="Arial" w:cs="Arial"/>
          <w:color w:val="211D1E"/>
          <w:sz w:val="20"/>
          <w:szCs w:val="20"/>
        </w:rPr>
      </w:pPr>
      <w:r w:rsidRPr="00AB12D6">
        <w:rPr>
          <w:rFonts w:ascii="Arial" w:hAnsi="Arial" w:cs="Arial"/>
          <w:color w:val="211D1E"/>
          <w:sz w:val="20"/>
          <w:szCs w:val="20"/>
        </w:rPr>
        <w:t xml:space="preserve">Photos by: </w:t>
      </w:r>
      <w:proofErr w:type="spellStart"/>
      <w:r w:rsidRPr="00AB12D6">
        <w:rPr>
          <w:rFonts w:ascii="Arial" w:hAnsi="Arial" w:cs="Arial"/>
          <w:color w:val="211D1E"/>
          <w:sz w:val="20"/>
          <w:szCs w:val="20"/>
        </w:rPr>
        <w:t>Halkin</w:t>
      </w:r>
      <w:proofErr w:type="spellEnd"/>
      <w:r w:rsidRPr="00AB12D6">
        <w:rPr>
          <w:rFonts w:ascii="Arial" w:hAnsi="Arial" w:cs="Arial"/>
          <w:color w:val="211D1E"/>
          <w:sz w:val="20"/>
          <w:szCs w:val="20"/>
        </w:rPr>
        <w:t xml:space="preserve"> Mason Photography</w:t>
      </w:r>
    </w:p>
    <w:p w14:paraId="4C06A422" w14:textId="77777777" w:rsidR="00015D97" w:rsidRPr="00AB12D6" w:rsidRDefault="00015D97" w:rsidP="00AB12D6">
      <w:pPr>
        <w:spacing w:before="0"/>
        <w:ind w:right="8"/>
        <w:contextualSpacing/>
        <w:rPr>
          <w:rFonts w:ascii="Arial" w:hAnsi="Arial" w:cs="Arial"/>
          <w:sz w:val="20"/>
          <w:szCs w:val="20"/>
        </w:rPr>
      </w:pPr>
    </w:p>
    <w:p w14:paraId="2D4EBFF4" w14:textId="77777777" w:rsidR="004D3AB2" w:rsidRPr="00170586" w:rsidRDefault="004D3AB2" w:rsidP="004D3AB2">
      <w:pPr>
        <w:spacing w:before="0"/>
        <w:contextualSpacing/>
        <w:rPr>
          <w:rFonts w:ascii="Arial" w:hAnsi="Arial" w:cs="Arial"/>
          <w:sz w:val="20"/>
          <w:szCs w:val="20"/>
        </w:rPr>
      </w:pPr>
      <w:r w:rsidRPr="00170586">
        <w:rPr>
          <w:rFonts w:ascii="Arial" w:hAnsi="Arial" w:cs="Arial"/>
          <w:sz w:val="20"/>
          <w:szCs w:val="20"/>
        </w:rPr>
        <w:t xml:space="preserve">To learn more about Rockfon’s acoustic ceiling products, please call 800-323-7164, email </w:t>
      </w:r>
      <w:hyperlink r:id="rId8" w:history="1">
        <w:r w:rsidRPr="00170586">
          <w:rPr>
            <w:rStyle w:val="Hyperlink"/>
            <w:rFonts w:ascii="Arial" w:hAnsi="Arial" w:cs="Arial"/>
            <w:sz w:val="20"/>
            <w:szCs w:val="20"/>
          </w:rPr>
          <w:t>cs@rockfon.com</w:t>
        </w:r>
      </w:hyperlink>
      <w:r w:rsidRPr="00170586">
        <w:rPr>
          <w:rFonts w:ascii="Arial" w:hAnsi="Arial" w:cs="Arial"/>
          <w:sz w:val="20"/>
          <w:szCs w:val="20"/>
        </w:rPr>
        <w:t xml:space="preserve"> or visit </w:t>
      </w:r>
      <w:hyperlink r:id="rId9" w:history="1">
        <w:r w:rsidRPr="00170586">
          <w:rPr>
            <w:rStyle w:val="Hyperlink"/>
            <w:rFonts w:ascii="Arial" w:hAnsi="Arial" w:cs="Arial"/>
            <w:sz w:val="20"/>
            <w:szCs w:val="20"/>
          </w:rPr>
          <w:t>www.rockfon.com</w:t>
        </w:r>
      </w:hyperlink>
      <w:r w:rsidRPr="00170586">
        <w:rPr>
          <w:rFonts w:ascii="Arial" w:eastAsia="Times New Roman" w:hAnsi="Arial" w:cs="Arial"/>
          <w:sz w:val="20"/>
          <w:szCs w:val="20"/>
        </w:rPr>
        <w:t>.</w:t>
      </w:r>
    </w:p>
    <w:p w14:paraId="4126B3B4" w14:textId="77777777" w:rsidR="004D3AB2" w:rsidRPr="00170586" w:rsidRDefault="004D3AB2" w:rsidP="004D3AB2">
      <w:pPr>
        <w:spacing w:before="0"/>
        <w:contextualSpacing/>
        <w:rPr>
          <w:rFonts w:ascii="Arial" w:hAnsi="Arial" w:cs="Arial"/>
          <w:sz w:val="20"/>
          <w:szCs w:val="20"/>
        </w:rPr>
      </w:pPr>
    </w:p>
    <w:p w14:paraId="04C8E5D9" w14:textId="77777777" w:rsidR="004D3AB2" w:rsidRPr="00170586" w:rsidRDefault="004D3AB2" w:rsidP="004D3AB2">
      <w:pPr>
        <w:spacing w:before="0"/>
        <w:contextualSpacing/>
        <w:rPr>
          <w:rFonts w:ascii="Arial" w:hAnsi="Arial" w:cs="Arial"/>
          <w:b/>
          <w:bCs/>
          <w:sz w:val="20"/>
          <w:szCs w:val="20"/>
        </w:rPr>
      </w:pPr>
      <w:r w:rsidRPr="00170586">
        <w:rPr>
          <w:rFonts w:ascii="Arial" w:hAnsi="Arial" w:cs="Arial"/>
          <w:b/>
          <w:bCs/>
          <w:sz w:val="20"/>
          <w:szCs w:val="20"/>
        </w:rPr>
        <w:t>About Rockfon</w:t>
      </w:r>
    </w:p>
    <w:p w14:paraId="2A266710" w14:textId="77777777" w:rsidR="004D3AB2" w:rsidRDefault="004D3AB2" w:rsidP="004D3AB2">
      <w:pPr>
        <w:spacing w:before="0"/>
        <w:contextualSpacing/>
        <w:rPr>
          <w:rFonts w:ascii="Arial" w:hAnsi="Arial" w:cs="Arial"/>
          <w:sz w:val="20"/>
          <w:szCs w:val="20"/>
        </w:rPr>
      </w:pPr>
      <w:r w:rsidRPr="00170586">
        <w:rPr>
          <w:rFonts w:ascii="Arial" w:hAnsi="Arial" w:cs="Arial"/>
          <w:sz w:val="20"/>
          <w:szCs w:val="20"/>
        </w:rPr>
        <w:t>Rockfon is part of ROCKWOOL Group and is offering advanced acoustic ceilings and wall solutions to create beautiful, comfortable spaces.</w:t>
      </w:r>
    </w:p>
    <w:p w14:paraId="1E4C9141" w14:textId="77777777" w:rsidR="004D3AB2" w:rsidRPr="00170586" w:rsidRDefault="004D3AB2" w:rsidP="004D3AB2">
      <w:pPr>
        <w:spacing w:before="0"/>
        <w:contextualSpacing/>
        <w:rPr>
          <w:rFonts w:ascii="Arial" w:hAnsi="Arial" w:cs="Arial"/>
          <w:sz w:val="20"/>
          <w:szCs w:val="20"/>
        </w:rPr>
      </w:pPr>
    </w:p>
    <w:p w14:paraId="7A6D262E" w14:textId="77777777" w:rsidR="004D3AB2" w:rsidRDefault="004D3AB2" w:rsidP="004D3AB2">
      <w:pPr>
        <w:spacing w:before="0"/>
        <w:contextualSpacing/>
        <w:rPr>
          <w:rFonts w:ascii="Arial" w:hAnsi="Arial" w:cs="Arial"/>
          <w:sz w:val="20"/>
          <w:szCs w:val="20"/>
        </w:rPr>
      </w:pPr>
      <w:r w:rsidRPr="00170586">
        <w:rPr>
          <w:rFonts w:ascii="Arial" w:hAnsi="Arial" w:cs="Arial"/>
          <w:sz w:val="20"/>
          <w:szCs w:val="20"/>
        </w:rPr>
        <w:t>At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485E9C0F" w14:textId="77777777" w:rsidR="004D3AB2" w:rsidRPr="00170586" w:rsidRDefault="004D3AB2" w:rsidP="004D3AB2">
      <w:pPr>
        <w:spacing w:before="0"/>
        <w:contextualSpacing/>
        <w:rPr>
          <w:rFonts w:ascii="Arial" w:hAnsi="Arial" w:cs="Arial"/>
          <w:sz w:val="20"/>
          <w:szCs w:val="20"/>
        </w:rPr>
      </w:pPr>
    </w:p>
    <w:p w14:paraId="7095D445" w14:textId="77777777" w:rsidR="004D3AB2" w:rsidRPr="00170586" w:rsidRDefault="004D3AB2" w:rsidP="004D3AB2">
      <w:pPr>
        <w:spacing w:before="0"/>
        <w:contextualSpacing/>
        <w:rPr>
          <w:rFonts w:ascii="Arial" w:hAnsi="Arial" w:cs="Arial"/>
          <w:sz w:val="20"/>
          <w:szCs w:val="20"/>
        </w:rPr>
      </w:pPr>
      <w:r w:rsidRPr="00170586">
        <w:rPr>
          <w:rFonts w:ascii="Arial" w:hAnsi="Arial" w:cs="Arial"/>
          <w:sz w:val="20"/>
          <w:szCs w:val="20"/>
        </w:rPr>
        <w:t>Stone wool is a versatile material and forms the basis of all our businesses. With approximately 11,700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05E8E800" w14:textId="15703BB2" w:rsidR="00576A83" w:rsidRPr="004D3AB2" w:rsidRDefault="004D3AB2" w:rsidP="004D3AB2">
      <w:pPr>
        <w:spacing w:before="0"/>
        <w:contextualSpacing/>
        <w:jc w:val="center"/>
        <w:rPr>
          <w:rFonts w:ascii="Arial" w:hAnsi="Arial" w:cs="Arial"/>
          <w:sz w:val="20"/>
          <w:szCs w:val="20"/>
        </w:rPr>
      </w:pPr>
      <w:r w:rsidRPr="00170586">
        <w:rPr>
          <w:rFonts w:ascii="Arial" w:hAnsi="Arial" w:cs="Arial"/>
          <w:sz w:val="20"/>
          <w:szCs w:val="20"/>
        </w:rPr>
        <w:t>###</w:t>
      </w:r>
    </w:p>
    <w:sectPr w:rsidR="00576A83" w:rsidRPr="004D3AB2"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371B9" w14:textId="77777777" w:rsidR="000C5EA1" w:rsidRDefault="000C5EA1" w:rsidP="00746BC4">
      <w:pPr>
        <w:spacing w:before="0"/>
      </w:pPr>
      <w:r>
        <w:separator/>
      </w:r>
    </w:p>
  </w:endnote>
  <w:endnote w:type="continuationSeparator" w:id="0">
    <w:p w14:paraId="3C790471" w14:textId="77777777" w:rsidR="000C5EA1" w:rsidRDefault="000C5EA1"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venir Book">
    <w:altName w:val="Avenir LT Pro 45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3E064" w14:textId="77777777" w:rsidR="000C5EA1" w:rsidRDefault="000C5EA1" w:rsidP="00746BC4">
      <w:pPr>
        <w:spacing w:before="0"/>
      </w:pPr>
      <w:r>
        <w:separator/>
      </w:r>
    </w:p>
  </w:footnote>
  <w:footnote w:type="continuationSeparator" w:id="0">
    <w:p w14:paraId="7903BEFA" w14:textId="77777777" w:rsidR="000C5EA1" w:rsidRDefault="000C5EA1"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56747"/>
    <w:multiLevelType w:val="hybridMultilevel"/>
    <w:tmpl w:val="966890D0"/>
    <w:styleLink w:val="ImportedStyle1"/>
    <w:lvl w:ilvl="0" w:tplc="E2EE42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A3D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7A56D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0A01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7EBEB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A857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E0635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02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FC61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B03A6"/>
    <w:multiLevelType w:val="hybridMultilevel"/>
    <w:tmpl w:val="966890D0"/>
    <w:numStyleLink w:val="ImportedStyle1"/>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784221"/>
    <w:multiLevelType w:val="hybridMultilevel"/>
    <w:tmpl w:val="F02C7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5"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E4E7B"/>
    <w:multiLevelType w:val="hybridMultilevel"/>
    <w:tmpl w:val="253C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DA1275"/>
    <w:multiLevelType w:val="hybridMultilevel"/>
    <w:tmpl w:val="966890D0"/>
    <w:numStyleLink w:val="ImportedStyle1"/>
  </w:abstractNum>
  <w:abstractNum w:abstractNumId="36"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36"/>
  </w:num>
  <w:num w:numId="3">
    <w:abstractNumId w:val="0"/>
  </w:num>
  <w:num w:numId="4">
    <w:abstractNumId w:val="20"/>
  </w:num>
  <w:num w:numId="5">
    <w:abstractNumId w:val="19"/>
  </w:num>
  <w:num w:numId="6">
    <w:abstractNumId w:val="29"/>
  </w:num>
  <w:num w:numId="7">
    <w:abstractNumId w:val="27"/>
  </w:num>
  <w:num w:numId="8">
    <w:abstractNumId w:val="25"/>
  </w:num>
  <w:num w:numId="9">
    <w:abstractNumId w:val="30"/>
  </w:num>
  <w:num w:numId="10">
    <w:abstractNumId w:val="38"/>
  </w:num>
  <w:num w:numId="11">
    <w:abstractNumId w:val="8"/>
  </w:num>
  <w:num w:numId="12">
    <w:abstractNumId w:val="34"/>
  </w:num>
  <w:num w:numId="13">
    <w:abstractNumId w:val="3"/>
  </w:num>
  <w:num w:numId="14">
    <w:abstractNumId w:val="23"/>
  </w:num>
  <w:num w:numId="15">
    <w:abstractNumId w:val="18"/>
  </w:num>
  <w:num w:numId="16">
    <w:abstractNumId w:val="21"/>
  </w:num>
  <w:num w:numId="17">
    <w:abstractNumId w:val="22"/>
  </w:num>
  <w:num w:numId="18">
    <w:abstractNumId w:val="31"/>
  </w:num>
  <w:num w:numId="19">
    <w:abstractNumId w:val="33"/>
  </w:num>
  <w:num w:numId="20">
    <w:abstractNumId w:val="10"/>
  </w:num>
  <w:num w:numId="21">
    <w:abstractNumId w:val="5"/>
  </w:num>
  <w:num w:numId="22">
    <w:abstractNumId w:val="13"/>
  </w:num>
  <w:num w:numId="23">
    <w:abstractNumId w:val="4"/>
  </w:num>
  <w:num w:numId="24">
    <w:abstractNumId w:val="9"/>
  </w:num>
  <w:num w:numId="25">
    <w:abstractNumId w:val="1"/>
  </w:num>
  <w:num w:numId="26">
    <w:abstractNumId w:val="14"/>
  </w:num>
  <w:num w:numId="27">
    <w:abstractNumId w:val="11"/>
  </w:num>
  <w:num w:numId="28">
    <w:abstractNumId w:val="6"/>
  </w:num>
  <w:num w:numId="29">
    <w:abstractNumId w:val="24"/>
  </w:num>
  <w:num w:numId="30">
    <w:abstractNumId w:val="37"/>
  </w:num>
  <w:num w:numId="31">
    <w:abstractNumId w:val="32"/>
  </w:num>
  <w:num w:numId="32">
    <w:abstractNumId w:val="28"/>
  </w:num>
  <w:num w:numId="33">
    <w:abstractNumId w:val="15"/>
  </w:num>
  <w:num w:numId="34">
    <w:abstractNumId w:val="12"/>
  </w:num>
  <w:num w:numId="35">
    <w:abstractNumId w:val="16"/>
  </w:num>
  <w:num w:numId="36">
    <w:abstractNumId w:val="2"/>
  </w:num>
  <w:num w:numId="37">
    <w:abstractNumId w:val="35"/>
  </w:num>
  <w:num w:numId="38">
    <w:abstractNumId w:val="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mirrorMargins/>
  <w:activeWritingStyle w:appName="MSWord" w:lang="en-GB"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fr-FR"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5D97"/>
    <w:rsid w:val="00017BD0"/>
    <w:rsid w:val="00020E32"/>
    <w:rsid w:val="00033D93"/>
    <w:rsid w:val="00047EC6"/>
    <w:rsid w:val="0005058E"/>
    <w:rsid w:val="00062D71"/>
    <w:rsid w:val="00063335"/>
    <w:rsid w:val="00065BE7"/>
    <w:rsid w:val="00073588"/>
    <w:rsid w:val="00081277"/>
    <w:rsid w:val="00085BD8"/>
    <w:rsid w:val="00087416"/>
    <w:rsid w:val="000955BD"/>
    <w:rsid w:val="000A019E"/>
    <w:rsid w:val="000A3357"/>
    <w:rsid w:val="000A4A46"/>
    <w:rsid w:val="000B0F1C"/>
    <w:rsid w:val="000B2D17"/>
    <w:rsid w:val="000B53FE"/>
    <w:rsid w:val="000C0F7E"/>
    <w:rsid w:val="000C5EA1"/>
    <w:rsid w:val="000F1594"/>
    <w:rsid w:val="000F4878"/>
    <w:rsid w:val="000F6FB3"/>
    <w:rsid w:val="001015EE"/>
    <w:rsid w:val="001064B6"/>
    <w:rsid w:val="00116926"/>
    <w:rsid w:val="0012129B"/>
    <w:rsid w:val="00130A85"/>
    <w:rsid w:val="00135DDE"/>
    <w:rsid w:val="00136656"/>
    <w:rsid w:val="00137AF9"/>
    <w:rsid w:val="001411E1"/>
    <w:rsid w:val="001438C3"/>
    <w:rsid w:val="0014639D"/>
    <w:rsid w:val="001466CB"/>
    <w:rsid w:val="0017215D"/>
    <w:rsid w:val="00173BEC"/>
    <w:rsid w:val="001876C4"/>
    <w:rsid w:val="00194660"/>
    <w:rsid w:val="001949BB"/>
    <w:rsid w:val="00194E0B"/>
    <w:rsid w:val="00195FAE"/>
    <w:rsid w:val="001A6D90"/>
    <w:rsid w:val="001B1CA3"/>
    <w:rsid w:val="001B2B97"/>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4AB1"/>
    <w:rsid w:val="00325E54"/>
    <w:rsid w:val="0033622D"/>
    <w:rsid w:val="003513AB"/>
    <w:rsid w:val="00352D14"/>
    <w:rsid w:val="0037378F"/>
    <w:rsid w:val="003770BE"/>
    <w:rsid w:val="00377EF8"/>
    <w:rsid w:val="00380979"/>
    <w:rsid w:val="00382CCB"/>
    <w:rsid w:val="003931BE"/>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1628"/>
    <w:rsid w:val="004148B8"/>
    <w:rsid w:val="00425464"/>
    <w:rsid w:val="00446CAA"/>
    <w:rsid w:val="00457F91"/>
    <w:rsid w:val="004626A7"/>
    <w:rsid w:val="004665FA"/>
    <w:rsid w:val="004672AF"/>
    <w:rsid w:val="004725E9"/>
    <w:rsid w:val="004775C1"/>
    <w:rsid w:val="00482362"/>
    <w:rsid w:val="004A0345"/>
    <w:rsid w:val="004B2638"/>
    <w:rsid w:val="004B60EF"/>
    <w:rsid w:val="004C35D4"/>
    <w:rsid w:val="004C6A39"/>
    <w:rsid w:val="004D3557"/>
    <w:rsid w:val="004D3AB2"/>
    <w:rsid w:val="004D78F8"/>
    <w:rsid w:val="004E20FB"/>
    <w:rsid w:val="004E2F63"/>
    <w:rsid w:val="004E3897"/>
    <w:rsid w:val="004E4DAB"/>
    <w:rsid w:val="004F1785"/>
    <w:rsid w:val="0050627D"/>
    <w:rsid w:val="005171C1"/>
    <w:rsid w:val="0051740B"/>
    <w:rsid w:val="00522D84"/>
    <w:rsid w:val="00526B31"/>
    <w:rsid w:val="00527392"/>
    <w:rsid w:val="00544DF9"/>
    <w:rsid w:val="005462C2"/>
    <w:rsid w:val="005506D9"/>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8EE"/>
    <w:rsid w:val="00600FD0"/>
    <w:rsid w:val="00605FF7"/>
    <w:rsid w:val="00614C8D"/>
    <w:rsid w:val="006235C3"/>
    <w:rsid w:val="00630224"/>
    <w:rsid w:val="00646DC9"/>
    <w:rsid w:val="006537A3"/>
    <w:rsid w:val="0065671D"/>
    <w:rsid w:val="00656E38"/>
    <w:rsid w:val="0066346E"/>
    <w:rsid w:val="0067471E"/>
    <w:rsid w:val="00680E08"/>
    <w:rsid w:val="00690A26"/>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43A"/>
    <w:rsid w:val="0076451C"/>
    <w:rsid w:val="00765CE6"/>
    <w:rsid w:val="00772D48"/>
    <w:rsid w:val="00774734"/>
    <w:rsid w:val="00777D7E"/>
    <w:rsid w:val="00782790"/>
    <w:rsid w:val="00784786"/>
    <w:rsid w:val="00784C3C"/>
    <w:rsid w:val="007A0659"/>
    <w:rsid w:val="007A25AD"/>
    <w:rsid w:val="007B0609"/>
    <w:rsid w:val="007B66BE"/>
    <w:rsid w:val="007C0260"/>
    <w:rsid w:val="007C3BA6"/>
    <w:rsid w:val="007C6E25"/>
    <w:rsid w:val="007F113B"/>
    <w:rsid w:val="00801848"/>
    <w:rsid w:val="0080609D"/>
    <w:rsid w:val="00811B59"/>
    <w:rsid w:val="00823BB1"/>
    <w:rsid w:val="008260C8"/>
    <w:rsid w:val="00833BED"/>
    <w:rsid w:val="008407CA"/>
    <w:rsid w:val="00844FA6"/>
    <w:rsid w:val="00845106"/>
    <w:rsid w:val="008468ED"/>
    <w:rsid w:val="00852267"/>
    <w:rsid w:val="0085316E"/>
    <w:rsid w:val="00855F83"/>
    <w:rsid w:val="008674FD"/>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9D5"/>
    <w:rsid w:val="00A47F2F"/>
    <w:rsid w:val="00A543E2"/>
    <w:rsid w:val="00A54E7C"/>
    <w:rsid w:val="00A575C1"/>
    <w:rsid w:val="00A60463"/>
    <w:rsid w:val="00A61755"/>
    <w:rsid w:val="00A64746"/>
    <w:rsid w:val="00A65DB6"/>
    <w:rsid w:val="00A67DB1"/>
    <w:rsid w:val="00A67FF9"/>
    <w:rsid w:val="00A74113"/>
    <w:rsid w:val="00A956A2"/>
    <w:rsid w:val="00AB12D6"/>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C06C3"/>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0CB1"/>
    <w:rsid w:val="00D947C0"/>
    <w:rsid w:val="00D9494E"/>
    <w:rsid w:val="00D95C39"/>
    <w:rsid w:val="00D95D15"/>
    <w:rsid w:val="00DA1CC6"/>
    <w:rsid w:val="00DB1828"/>
    <w:rsid w:val="00DB2DF5"/>
    <w:rsid w:val="00DB4E32"/>
    <w:rsid w:val="00DC7AE1"/>
    <w:rsid w:val="00DD2599"/>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0F1D"/>
    <w:rsid w:val="00E8729E"/>
    <w:rsid w:val="00EA1285"/>
    <w:rsid w:val="00EA177F"/>
    <w:rsid w:val="00EA6E4F"/>
    <w:rsid w:val="00EB5CB7"/>
    <w:rsid w:val="00EB6A6C"/>
    <w:rsid w:val="00EC28C6"/>
    <w:rsid w:val="00EC48CB"/>
    <w:rsid w:val="00EC67B8"/>
    <w:rsid w:val="00ED207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0E9A"/>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 w:type="paragraph" w:customStyle="1" w:styleId="Body">
    <w:name w:val="Body"/>
    <w:rsid w:val="00EC67B8"/>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ImportedStyle1">
    <w:name w:val="Imported Style 1"/>
    <w:rsid w:val="00EC67B8"/>
    <w:pPr>
      <w:numPr>
        <w:numId w:val="36"/>
      </w:numPr>
    </w:pPr>
  </w:style>
  <w:style w:type="character" w:customStyle="1" w:styleId="Hyperlink0">
    <w:name w:val="Hyperlink.0"/>
    <w:basedOn w:val="Hyperlink"/>
    <w:rsid w:val="00EC67B8"/>
    <w:rPr>
      <w:color w:val="A76389" w:themeColor="accent4"/>
      <w:u w:val="single"/>
    </w:rPr>
  </w:style>
  <w:style w:type="paragraph" w:customStyle="1" w:styleId="Pa1">
    <w:name w:val="Pa1"/>
    <w:basedOn w:val="Default"/>
    <w:next w:val="Default"/>
    <w:uiPriority w:val="99"/>
    <w:rsid w:val="005506D9"/>
    <w:pPr>
      <w:spacing w:before="0" w:line="161" w:lineRule="atLeast"/>
    </w:pPr>
    <w:rPr>
      <w:rFonts w:ascii="Avenir Book" w:eastAsiaTheme="minorHAnsi" w:hAnsi="Avenir Book" w:cs="Times New Roman"/>
      <w:color w:val="000000" w:themeColor="text1"/>
    </w:rPr>
  </w:style>
  <w:style w:type="character" w:customStyle="1" w:styleId="A1">
    <w:name w:val="A1"/>
    <w:uiPriority w:val="99"/>
    <w:rsid w:val="005506D9"/>
    <w:rPr>
      <w:rFonts w:cs="Avenir Book"/>
      <w:color w:val="221E1F"/>
      <w:sz w:val="16"/>
      <w:szCs w:val="16"/>
    </w:rPr>
  </w:style>
  <w:style w:type="paragraph" w:customStyle="1" w:styleId="Pa6">
    <w:name w:val="Pa6"/>
    <w:basedOn w:val="Default"/>
    <w:next w:val="Default"/>
    <w:uiPriority w:val="99"/>
    <w:rsid w:val="005506D9"/>
    <w:pPr>
      <w:spacing w:before="0" w:line="241" w:lineRule="atLeast"/>
    </w:pPr>
    <w:rPr>
      <w:rFonts w:ascii="Avenir Book" w:eastAsiaTheme="minorHAnsi" w:hAnsi="Avenir Book" w:cs="Times New Roman"/>
      <w:color w:val="000000" w:themeColor="text1"/>
    </w:rPr>
  </w:style>
  <w:style w:type="character" w:customStyle="1" w:styleId="lrzxr">
    <w:name w:val="lrzxr"/>
    <w:basedOn w:val="DefaultParagraphFont"/>
    <w:rsid w:val="00AB1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118754">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5862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6</cp:revision>
  <cp:lastPrinted>2017-06-16T00:15:00Z</cp:lastPrinted>
  <dcterms:created xsi:type="dcterms:W3CDTF">2020-08-09T20:14:00Z</dcterms:created>
  <dcterms:modified xsi:type="dcterms:W3CDTF">2020-09-07T19:54:00Z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